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020"/>
        <w:gridCol w:w="252"/>
        <w:gridCol w:w="6351"/>
      </w:tblGrid>
      <w:tr w:rsidR="002E3EAF" w:rsidRPr="002E3EAF" w:rsidTr="00822C41">
        <w:trPr>
          <w:trHeight w:val="850"/>
        </w:trPr>
        <w:tc>
          <w:tcPr>
            <w:tcW w:w="1569" w:type="pct"/>
          </w:tcPr>
          <w:p w:rsidR="002E3EAF" w:rsidRPr="002E3EAF" w:rsidRDefault="002E3EAF" w:rsidP="00822C41">
            <w:pPr>
              <w:spacing w:after="0" w:line="240" w:lineRule="auto"/>
              <w:jc w:val="center"/>
              <w:rPr>
                <w:rFonts w:asciiTheme="majorHAnsi" w:hAnsiTheme="majorHAnsi" w:cstheme="majorHAnsi"/>
                <w:b/>
                <w:sz w:val="26"/>
                <w:szCs w:val="26"/>
              </w:rPr>
            </w:pPr>
            <w:r w:rsidRPr="002E3EAF">
              <w:rPr>
                <w:rFonts w:asciiTheme="majorHAnsi" w:hAnsiTheme="majorHAnsi" w:cstheme="majorHAnsi"/>
                <w:b/>
                <w:sz w:val="26"/>
                <w:szCs w:val="26"/>
              </w:rPr>
              <w:t xml:space="preserve"> BỘ TÀI CHÍNH</w:t>
            </w:r>
          </w:p>
          <w:p w:rsidR="002E3EAF" w:rsidRPr="002E3EAF" w:rsidRDefault="00D671B9" w:rsidP="00822C41">
            <w:pPr>
              <w:spacing w:after="0" w:line="240" w:lineRule="auto"/>
              <w:jc w:val="center"/>
              <w:rPr>
                <w:rFonts w:asciiTheme="majorHAnsi" w:hAnsiTheme="majorHAnsi" w:cstheme="majorHAnsi"/>
                <w:sz w:val="28"/>
                <w:szCs w:val="28"/>
              </w:rPr>
            </w:pPr>
            <w:r w:rsidRPr="00D671B9">
              <w:rPr>
                <w:rFonts w:asciiTheme="majorHAnsi" w:hAnsiTheme="majorHAnsi" w:cstheme="majorHAnsi"/>
                <w:b/>
                <w:noProof/>
                <w:sz w:val="28"/>
                <w:szCs w:val="28"/>
                <w:lang w:val="en-US"/>
              </w:rPr>
              <w:pict>
                <v:line id="_x0000_s1027" style="position:absolute;left:0;text-align:left;z-index:251661312" from="45pt,4.2pt" to="90pt,4.2pt"/>
              </w:pict>
            </w:r>
          </w:p>
          <w:p w:rsidR="002E3EAF" w:rsidRPr="002E3EAF" w:rsidRDefault="002E3EAF" w:rsidP="00822C41">
            <w:pPr>
              <w:spacing w:after="0" w:line="240" w:lineRule="auto"/>
              <w:rPr>
                <w:rFonts w:asciiTheme="majorHAnsi" w:hAnsiTheme="majorHAnsi" w:cstheme="majorHAnsi"/>
                <w:sz w:val="26"/>
                <w:szCs w:val="26"/>
              </w:rPr>
            </w:pPr>
            <w:r w:rsidRPr="002E3EAF">
              <w:rPr>
                <w:rFonts w:asciiTheme="majorHAnsi" w:hAnsiTheme="majorHAnsi" w:cstheme="majorHAnsi"/>
                <w:sz w:val="28"/>
                <w:szCs w:val="28"/>
              </w:rPr>
              <w:t xml:space="preserve"> </w:t>
            </w:r>
          </w:p>
        </w:tc>
        <w:tc>
          <w:tcPr>
            <w:tcW w:w="131" w:type="pct"/>
          </w:tcPr>
          <w:p w:rsidR="002E3EAF" w:rsidRPr="002E3EAF" w:rsidRDefault="002E3EAF" w:rsidP="00822C41">
            <w:pPr>
              <w:spacing w:after="0" w:line="240" w:lineRule="auto"/>
              <w:jc w:val="center"/>
              <w:rPr>
                <w:rFonts w:asciiTheme="majorHAnsi" w:hAnsiTheme="majorHAnsi" w:cstheme="majorHAnsi"/>
                <w:b/>
                <w:sz w:val="28"/>
                <w:szCs w:val="28"/>
              </w:rPr>
            </w:pPr>
          </w:p>
        </w:tc>
        <w:tc>
          <w:tcPr>
            <w:tcW w:w="3300" w:type="pct"/>
          </w:tcPr>
          <w:p w:rsidR="002E3EAF" w:rsidRPr="002E3EAF" w:rsidRDefault="002E3EAF" w:rsidP="00822C41">
            <w:pPr>
              <w:spacing w:after="0" w:line="240" w:lineRule="auto"/>
              <w:jc w:val="center"/>
              <w:rPr>
                <w:rFonts w:asciiTheme="majorHAnsi" w:hAnsiTheme="majorHAnsi" w:cstheme="majorHAnsi"/>
                <w:b/>
                <w:sz w:val="26"/>
                <w:szCs w:val="26"/>
              </w:rPr>
            </w:pPr>
            <w:r w:rsidRPr="002E3EAF">
              <w:rPr>
                <w:rFonts w:asciiTheme="majorHAnsi" w:hAnsiTheme="majorHAnsi" w:cstheme="majorHAnsi"/>
                <w:b/>
                <w:sz w:val="26"/>
                <w:szCs w:val="26"/>
              </w:rPr>
              <w:t xml:space="preserve">    CỘNG HOÀ XÃ HỘI CHỦ NGHĨA VIỆT NAM</w:t>
            </w:r>
          </w:p>
          <w:p w:rsidR="002E3EAF" w:rsidRPr="002E3EAF" w:rsidRDefault="00D671B9" w:rsidP="00822C41">
            <w:pPr>
              <w:spacing w:after="0" w:line="240" w:lineRule="auto"/>
              <w:jc w:val="center"/>
              <w:rPr>
                <w:rFonts w:asciiTheme="majorHAnsi" w:hAnsiTheme="majorHAnsi" w:cstheme="majorHAnsi"/>
                <w:b/>
                <w:sz w:val="28"/>
                <w:szCs w:val="28"/>
              </w:rPr>
            </w:pPr>
            <w:r w:rsidRPr="00D671B9">
              <w:rPr>
                <w:rFonts w:asciiTheme="majorHAnsi" w:hAnsiTheme="majorHAnsi" w:cstheme="majorHAnsi"/>
                <w:b/>
                <w:noProof/>
                <w:sz w:val="28"/>
                <w:szCs w:val="28"/>
                <w:lang w:val="en-US"/>
              </w:rPr>
              <w:pict>
                <v:line id="_x0000_s1026" style="position:absolute;left:0;text-align:left;z-index:251660288" from="69.15pt,21.05pt" to="231.15pt,21.05pt"/>
              </w:pict>
            </w:r>
            <w:r w:rsidR="002E3EAF" w:rsidRPr="002E3EAF">
              <w:rPr>
                <w:rFonts w:asciiTheme="majorHAnsi" w:hAnsiTheme="majorHAnsi" w:cstheme="majorHAnsi"/>
                <w:b/>
                <w:sz w:val="28"/>
                <w:szCs w:val="28"/>
              </w:rPr>
              <w:t xml:space="preserve">    Độc lập - Tự do - Hạnh phúc</w:t>
            </w:r>
          </w:p>
        </w:tc>
      </w:tr>
      <w:tr w:rsidR="002E3EAF" w:rsidRPr="002E3EAF" w:rsidTr="00B90905">
        <w:tc>
          <w:tcPr>
            <w:tcW w:w="1569" w:type="pct"/>
          </w:tcPr>
          <w:p w:rsidR="002E3EAF" w:rsidRPr="002E3EAF" w:rsidRDefault="002E3EAF" w:rsidP="00CC100E">
            <w:pPr>
              <w:spacing w:before="120" w:after="0" w:line="240" w:lineRule="auto"/>
              <w:jc w:val="center"/>
              <w:rPr>
                <w:rFonts w:asciiTheme="majorHAnsi" w:hAnsiTheme="majorHAnsi" w:cstheme="majorHAnsi"/>
                <w:sz w:val="28"/>
                <w:szCs w:val="28"/>
              </w:rPr>
            </w:pPr>
            <w:r w:rsidRPr="002E3EAF">
              <w:rPr>
                <w:rFonts w:asciiTheme="majorHAnsi" w:hAnsiTheme="majorHAnsi" w:cstheme="majorHAnsi"/>
                <w:sz w:val="28"/>
                <w:szCs w:val="28"/>
              </w:rPr>
              <w:t xml:space="preserve">Số: </w:t>
            </w:r>
            <w:r w:rsidR="00984C49">
              <w:rPr>
                <w:rFonts w:asciiTheme="majorHAnsi" w:hAnsiTheme="majorHAnsi" w:cstheme="majorHAnsi"/>
                <w:sz w:val="28"/>
                <w:szCs w:val="28"/>
                <w:lang w:val="en-US"/>
              </w:rPr>
              <w:t xml:space="preserve"> 24</w:t>
            </w:r>
            <w:r w:rsidRPr="002E3EAF">
              <w:rPr>
                <w:rFonts w:asciiTheme="majorHAnsi" w:hAnsiTheme="majorHAnsi" w:cstheme="majorHAnsi"/>
                <w:sz w:val="28"/>
                <w:szCs w:val="28"/>
              </w:rPr>
              <w:t>/2020/TT-BTC</w:t>
            </w:r>
          </w:p>
        </w:tc>
        <w:tc>
          <w:tcPr>
            <w:tcW w:w="131" w:type="pct"/>
          </w:tcPr>
          <w:p w:rsidR="002E3EAF" w:rsidRPr="002E3EAF" w:rsidRDefault="002E3EAF" w:rsidP="002E3EAF">
            <w:pPr>
              <w:spacing w:before="120" w:after="0" w:line="240" w:lineRule="auto"/>
              <w:jc w:val="center"/>
              <w:rPr>
                <w:rFonts w:asciiTheme="majorHAnsi" w:hAnsiTheme="majorHAnsi" w:cstheme="majorHAnsi"/>
                <w:i/>
                <w:sz w:val="28"/>
                <w:szCs w:val="28"/>
              </w:rPr>
            </w:pPr>
          </w:p>
        </w:tc>
        <w:tc>
          <w:tcPr>
            <w:tcW w:w="3300" w:type="pct"/>
          </w:tcPr>
          <w:p w:rsidR="002E3EAF" w:rsidRPr="002E3EAF" w:rsidRDefault="002E3EAF" w:rsidP="00CC100E">
            <w:pPr>
              <w:spacing w:before="120" w:after="0" w:line="240" w:lineRule="auto"/>
              <w:jc w:val="center"/>
              <w:rPr>
                <w:rFonts w:asciiTheme="majorHAnsi" w:hAnsiTheme="majorHAnsi" w:cstheme="majorHAnsi"/>
                <w:sz w:val="28"/>
                <w:szCs w:val="28"/>
              </w:rPr>
            </w:pPr>
            <w:r w:rsidRPr="002E3EAF">
              <w:rPr>
                <w:rFonts w:asciiTheme="majorHAnsi" w:hAnsiTheme="majorHAnsi" w:cstheme="majorHAnsi"/>
                <w:i/>
                <w:sz w:val="28"/>
                <w:szCs w:val="28"/>
              </w:rPr>
              <w:t xml:space="preserve">    </w:t>
            </w:r>
            <w:r w:rsidR="00CC100E" w:rsidRPr="00CC100E">
              <w:rPr>
                <w:rFonts w:asciiTheme="majorHAnsi" w:hAnsiTheme="majorHAnsi" w:cstheme="majorHAnsi"/>
                <w:i/>
                <w:sz w:val="28"/>
                <w:szCs w:val="28"/>
              </w:rPr>
              <w:t xml:space="preserve">  </w:t>
            </w:r>
            <w:r w:rsidRPr="002E3EAF">
              <w:rPr>
                <w:rFonts w:asciiTheme="majorHAnsi" w:hAnsiTheme="majorHAnsi" w:cstheme="majorHAnsi"/>
                <w:i/>
                <w:sz w:val="28"/>
                <w:szCs w:val="28"/>
              </w:rPr>
              <w:t>Hà Nộ</w:t>
            </w:r>
            <w:r w:rsidR="009658F2">
              <w:rPr>
                <w:rFonts w:asciiTheme="majorHAnsi" w:hAnsiTheme="majorHAnsi" w:cstheme="majorHAnsi"/>
                <w:i/>
                <w:sz w:val="28"/>
                <w:szCs w:val="28"/>
              </w:rPr>
              <w:t xml:space="preserve">i, ngày </w:t>
            </w:r>
            <w:r w:rsidR="00984C49">
              <w:rPr>
                <w:rFonts w:asciiTheme="majorHAnsi" w:hAnsiTheme="majorHAnsi" w:cstheme="majorHAnsi"/>
                <w:i/>
                <w:sz w:val="28"/>
                <w:szCs w:val="28"/>
              </w:rPr>
              <w:t>1</w:t>
            </w:r>
            <w:r w:rsidR="00984C49">
              <w:rPr>
                <w:rFonts w:asciiTheme="majorHAnsi" w:hAnsiTheme="majorHAnsi" w:cstheme="majorHAnsi"/>
                <w:i/>
                <w:sz w:val="28"/>
                <w:szCs w:val="28"/>
                <w:lang w:val="en-US"/>
              </w:rPr>
              <w:t>3</w:t>
            </w:r>
            <w:r w:rsidR="009658F2">
              <w:rPr>
                <w:rFonts w:asciiTheme="majorHAnsi" w:hAnsiTheme="majorHAnsi" w:cstheme="majorHAnsi"/>
                <w:i/>
                <w:sz w:val="28"/>
                <w:szCs w:val="28"/>
              </w:rPr>
              <w:t xml:space="preserve"> tháng </w:t>
            </w:r>
            <w:r w:rsidR="00CC100E" w:rsidRPr="00CC100E">
              <w:rPr>
                <w:rFonts w:asciiTheme="majorHAnsi" w:hAnsiTheme="majorHAnsi" w:cstheme="majorHAnsi"/>
                <w:i/>
                <w:sz w:val="28"/>
                <w:szCs w:val="28"/>
              </w:rPr>
              <w:t>4</w:t>
            </w:r>
            <w:r w:rsidRPr="002E3EAF">
              <w:rPr>
                <w:rFonts w:asciiTheme="majorHAnsi" w:hAnsiTheme="majorHAnsi" w:cstheme="majorHAnsi"/>
                <w:i/>
                <w:sz w:val="28"/>
                <w:szCs w:val="28"/>
              </w:rPr>
              <w:t xml:space="preserve">  năm 2020</w:t>
            </w:r>
          </w:p>
        </w:tc>
      </w:tr>
    </w:tbl>
    <w:p w:rsidR="002E3EAF" w:rsidRPr="002E3EAF" w:rsidRDefault="002E3EAF" w:rsidP="002E3EAF">
      <w:pPr>
        <w:spacing w:before="120" w:after="0" w:line="240" w:lineRule="auto"/>
        <w:ind w:right="-1080"/>
        <w:jc w:val="both"/>
        <w:rPr>
          <w:rFonts w:asciiTheme="majorHAnsi" w:hAnsiTheme="majorHAnsi" w:cstheme="majorHAnsi"/>
          <w:sz w:val="28"/>
          <w:szCs w:val="28"/>
        </w:rPr>
      </w:pPr>
      <w:r w:rsidRPr="002E3EAF">
        <w:rPr>
          <w:rFonts w:asciiTheme="majorHAnsi" w:hAnsiTheme="majorHAnsi" w:cstheme="majorHAnsi"/>
          <w:sz w:val="28"/>
          <w:szCs w:val="28"/>
        </w:rPr>
        <w:t xml:space="preserve"> </w:t>
      </w:r>
      <w:r w:rsidRPr="002E3EAF">
        <w:rPr>
          <w:rFonts w:asciiTheme="majorHAnsi" w:hAnsiTheme="majorHAnsi" w:cstheme="majorHAnsi"/>
          <w:sz w:val="28"/>
          <w:szCs w:val="28"/>
        </w:rPr>
        <w:tab/>
      </w:r>
      <w:r w:rsidRPr="002E3EAF">
        <w:rPr>
          <w:rFonts w:asciiTheme="majorHAnsi" w:hAnsiTheme="majorHAnsi" w:cstheme="majorHAnsi"/>
          <w:sz w:val="28"/>
          <w:szCs w:val="28"/>
        </w:rPr>
        <w:tab/>
      </w:r>
    </w:p>
    <w:p w:rsidR="002E3EAF" w:rsidRPr="002E3EAF" w:rsidRDefault="002E3EAF" w:rsidP="002E3EAF">
      <w:pPr>
        <w:pStyle w:val="Heading1"/>
        <w:spacing w:before="120" w:after="0"/>
        <w:rPr>
          <w:rFonts w:asciiTheme="majorHAnsi" w:hAnsiTheme="majorHAnsi" w:cstheme="majorHAnsi"/>
          <w:bCs w:val="0"/>
          <w:spacing w:val="-4"/>
          <w:szCs w:val="28"/>
          <w:lang w:val="vi-VN"/>
        </w:rPr>
      </w:pPr>
      <w:r w:rsidRPr="002E3EAF">
        <w:rPr>
          <w:rFonts w:asciiTheme="majorHAnsi" w:hAnsiTheme="majorHAnsi" w:cstheme="majorHAnsi"/>
          <w:bCs w:val="0"/>
          <w:spacing w:val="-4"/>
          <w:szCs w:val="28"/>
          <w:lang w:val="vi-VN"/>
        </w:rPr>
        <w:t>THÔNG TƯ</w:t>
      </w:r>
    </w:p>
    <w:p w:rsidR="002E3EAF" w:rsidRPr="002E3EAF" w:rsidRDefault="002E3EAF" w:rsidP="002E3EAF">
      <w:pPr>
        <w:spacing w:before="120" w:after="0" w:line="240" w:lineRule="auto"/>
        <w:rPr>
          <w:rFonts w:asciiTheme="majorHAnsi" w:hAnsiTheme="majorHAnsi" w:cstheme="majorHAnsi"/>
        </w:rPr>
      </w:pPr>
    </w:p>
    <w:p w:rsidR="002E3EAF" w:rsidRPr="002E3EAF" w:rsidRDefault="002E3EAF" w:rsidP="002E3EAF">
      <w:pPr>
        <w:spacing w:before="120" w:after="0" w:line="240" w:lineRule="auto"/>
        <w:ind w:left="374" w:right="302"/>
        <w:jc w:val="center"/>
        <w:rPr>
          <w:rFonts w:asciiTheme="majorHAnsi" w:hAnsiTheme="majorHAnsi" w:cstheme="majorHAnsi"/>
          <w:b/>
          <w:sz w:val="28"/>
          <w:szCs w:val="28"/>
        </w:rPr>
      </w:pPr>
      <w:r w:rsidRPr="002E3EAF">
        <w:rPr>
          <w:rFonts w:asciiTheme="majorHAnsi" w:hAnsiTheme="majorHAnsi" w:cstheme="majorHAnsi"/>
          <w:b/>
          <w:sz w:val="28"/>
          <w:szCs w:val="28"/>
        </w:rPr>
        <w:t>Sửa đổi, bổ sung một số điều của Thông tư số 20/2016/TT-BTC ngày 03/02/2016 của Bộ Tài chính hướng dẫn thực hiện cơ chế quản lý tài chính về bảo hiểm xã hội, bảo hiểm y tế, bảo hiểm thất nghiệp và chi phí quản lý bảo hiểm xã hội, bảo hiểm y tế, bảo hiểm thất nghiệp</w:t>
      </w:r>
    </w:p>
    <w:p w:rsidR="002E3EAF" w:rsidRPr="002E3EAF" w:rsidRDefault="00D671B9" w:rsidP="002E3EAF">
      <w:pPr>
        <w:spacing w:before="120" w:after="0" w:line="240" w:lineRule="auto"/>
        <w:jc w:val="center"/>
        <w:rPr>
          <w:rFonts w:asciiTheme="majorHAnsi" w:hAnsiTheme="majorHAnsi" w:cstheme="majorHAnsi"/>
          <w:sz w:val="28"/>
          <w:szCs w:val="28"/>
        </w:rPr>
      </w:pPr>
      <w:r w:rsidRPr="00D671B9">
        <w:rPr>
          <w:rFonts w:asciiTheme="majorHAnsi" w:hAnsiTheme="majorHAnsi" w:cstheme="majorHAnsi"/>
          <w:noProof/>
          <w:sz w:val="28"/>
          <w:szCs w:val="28"/>
          <w:lang w:val="en-US"/>
        </w:rPr>
        <w:pict>
          <v:line id="_x0000_s1028" style="position:absolute;left:0;text-align:left;z-index:251662336" from="184.2pt,3.65pt" to="283.5pt,3.65pt"/>
        </w:pict>
      </w:r>
      <w:r w:rsidR="002E3EAF" w:rsidRPr="002E3EAF">
        <w:rPr>
          <w:rFonts w:asciiTheme="majorHAnsi" w:hAnsiTheme="majorHAnsi" w:cstheme="majorHAnsi"/>
          <w:b/>
          <w:snapToGrid w:val="0"/>
          <w:sz w:val="28"/>
          <w:szCs w:val="28"/>
        </w:rPr>
        <w:t xml:space="preserve"> </w:t>
      </w:r>
    </w:p>
    <w:p w:rsidR="002E3EAF" w:rsidRPr="002E3EAF" w:rsidRDefault="002E3EAF" w:rsidP="002E3EAF">
      <w:pPr>
        <w:spacing w:before="120" w:after="0" w:line="240" w:lineRule="auto"/>
        <w:ind w:firstLine="720"/>
        <w:jc w:val="both"/>
        <w:rPr>
          <w:rFonts w:asciiTheme="majorHAnsi" w:hAnsiTheme="majorHAnsi" w:cstheme="majorHAnsi"/>
          <w:i/>
          <w:sz w:val="28"/>
          <w:szCs w:val="28"/>
        </w:rPr>
      </w:pPr>
      <w:r w:rsidRPr="002E3EAF">
        <w:rPr>
          <w:rFonts w:asciiTheme="majorHAnsi" w:hAnsiTheme="majorHAnsi" w:cstheme="majorHAnsi"/>
          <w:i/>
          <w:sz w:val="28"/>
          <w:szCs w:val="28"/>
        </w:rPr>
        <w:t>Căn cứ Luật Bảo hiểm xã hội ngày 20 tháng 11 năm 2014;</w:t>
      </w:r>
    </w:p>
    <w:p w:rsidR="002E3EAF" w:rsidRPr="002E3EAF" w:rsidRDefault="002E3EAF" w:rsidP="002E3EAF">
      <w:pPr>
        <w:spacing w:before="120" w:after="0" w:line="240" w:lineRule="auto"/>
        <w:ind w:firstLine="720"/>
        <w:jc w:val="both"/>
        <w:rPr>
          <w:rFonts w:asciiTheme="majorHAnsi" w:hAnsiTheme="majorHAnsi" w:cstheme="majorHAnsi"/>
          <w:i/>
          <w:sz w:val="28"/>
          <w:szCs w:val="28"/>
        </w:rPr>
      </w:pPr>
      <w:r w:rsidRPr="002E3EAF">
        <w:rPr>
          <w:rFonts w:asciiTheme="majorHAnsi" w:hAnsiTheme="majorHAnsi" w:cstheme="majorHAnsi"/>
          <w:i/>
          <w:sz w:val="28"/>
          <w:szCs w:val="28"/>
        </w:rPr>
        <w:t>Căn cứ Luật Việc làm ngày 16 tháng 11 năm 2013;</w:t>
      </w:r>
    </w:p>
    <w:p w:rsidR="002E3EAF" w:rsidRPr="002E3EAF" w:rsidRDefault="002E3EAF" w:rsidP="002E3EAF">
      <w:pPr>
        <w:spacing w:before="120" w:after="0" w:line="240" w:lineRule="auto"/>
        <w:ind w:firstLine="720"/>
        <w:jc w:val="both"/>
        <w:rPr>
          <w:rFonts w:asciiTheme="majorHAnsi" w:hAnsiTheme="majorHAnsi" w:cstheme="majorHAnsi"/>
          <w:i/>
          <w:sz w:val="28"/>
          <w:szCs w:val="28"/>
        </w:rPr>
      </w:pPr>
      <w:r w:rsidRPr="002E3EAF">
        <w:rPr>
          <w:rFonts w:asciiTheme="majorHAnsi" w:hAnsiTheme="majorHAnsi" w:cstheme="majorHAnsi"/>
          <w:i/>
          <w:sz w:val="28"/>
          <w:szCs w:val="28"/>
        </w:rPr>
        <w:t>Căn cứ Luật An toàn, vệ sinh lao động ngày 25 tháng 6 năm 2015;</w:t>
      </w:r>
    </w:p>
    <w:p w:rsidR="002E3EAF" w:rsidRPr="002E33BA" w:rsidRDefault="002E3EAF" w:rsidP="002E3EAF">
      <w:pPr>
        <w:spacing w:before="120" w:after="0" w:line="240" w:lineRule="auto"/>
        <w:ind w:firstLine="720"/>
        <w:jc w:val="both"/>
        <w:rPr>
          <w:rFonts w:asciiTheme="majorHAnsi" w:hAnsiTheme="majorHAnsi" w:cstheme="majorHAnsi"/>
          <w:i/>
          <w:sz w:val="28"/>
          <w:szCs w:val="28"/>
        </w:rPr>
      </w:pPr>
      <w:r w:rsidRPr="002E3EAF">
        <w:rPr>
          <w:rFonts w:asciiTheme="majorHAnsi" w:hAnsiTheme="majorHAnsi" w:cstheme="majorHAnsi"/>
          <w:i/>
          <w:sz w:val="28"/>
          <w:szCs w:val="28"/>
        </w:rPr>
        <w:t>Căn cứ Luật Bảo hiểm y tế ngày 14 tháng 11 năm 2008 và Luật sửa đổi, bổ sung một số điều của Luật Bảo hiểm y tế ngày 13 tháng 6 năm 2014</w:t>
      </w:r>
      <w:r w:rsidR="002E33BA" w:rsidRPr="002E33BA">
        <w:rPr>
          <w:rFonts w:asciiTheme="majorHAnsi" w:hAnsiTheme="majorHAnsi" w:cstheme="majorHAnsi"/>
          <w:i/>
          <w:sz w:val="28"/>
          <w:szCs w:val="28"/>
        </w:rPr>
        <w:t>;</w:t>
      </w:r>
    </w:p>
    <w:p w:rsidR="002E3EAF" w:rsidRPr="002E3EAF" w:rsidRDefault="002E3EAF" w:rsidP="002E3EAF">
      <w:pPr>
        <w:spacing w:before="120" w:after="0" w:line="240" w:lineRule="auto"/>
        <w:ind w:firstLine="720"/>
        <w:jc w:val="both"/>
        <w:rPr>
          <w:rFonts w:asciiTheme="majorHAnsi" w:hAnsiTheme="majorHAnsi" w:cstheme="majorHAnsi"/>
          <w:i/>
          <w:sz w:val="28"/>
          <w:szCs w:val="28"/>
        </w:rPr>
      </w:pPr>
      <w:r w:rsidRPr="002E3EAF">
        <w:rPr>
          <w:rFonts w:asciiTheme="majorHAnsi" w:hAnsiTheme="majorHAnsi" w:cstheme="majorHAnsi"/>
          <w:i/>
          <w:sz w:val="28"/>
          <w:szCs w:val="28"/>
        </w:rPr>
        <w:t>Căn cứ Nghị định số 87/2017/NĐ-CP ngày 26 tháng 7 năm 2017 của Chính phủ quy định chức năng, nhiệm vụ, quyền hạn và cơ cấu tổ chức của Bộ Tài chính;</w:t>
      </w:r>
    </w:p>
    <w:p w:rsidR="002E3EAF" w:rsidRPr="002E3EAF" w:rsidRDefault="002E3EAF" w:rsidP="002E3EAF">
      <w:pPr>
        <w:spacing w:before="120" w:after="0" w:line="240" w:lineRule="auto"/>
        <w:ind w:firstLine="720"/>
        <w:jc w:val="both"/>
        <w:rPr>
          <w:rFonts w:asciiTheme="majorHAnsi" w:hAnsiTheme="majorHAnsi" w:cstheme="majorHAnsi"/>
          <w:i/>
          <w:sz w:val="28"/>
          <w:szCs w:val="28"/>
        </w:rPr>
      </w:pPr>
      <w:r w:rsidRPr="002E3EAF">
        <w:rPr>
          <w:rFonts w:asciiTheme="majorHAnsi" w:hAnsiTheme="majorHAnsi" w:cstheme="majorHAnsi"/>
          <w:i/>
          <w:sz w:val="28"/>
          <w:szCs w:val="28"/>
        </w:rPr>
        <w:t>Căn cứ Quyết định số 60/2015/QĐ-TTg ngày 27</w:t>
      </w:r>
      <w:r w:rsidR="00B67F2F" w:rsidRPr="00B67F2F">
        <w:rPr>
          <w:rFonts w:asciiTheme="majorHAnsi" w:hAnsiTheme="majorHAnsi" w:cstheme="majorHAnsi"/>
          <w:i/>
          <w:sz w:val="28"/>
          <w:szCs w:val="28"/>
        </w:rPr>
        <w:t xml:space="preserve"> tháng 1</w:t>
      </w:r>
      <w:r w:rsidRPr="002E3EAF">
        <w:rPr>
          <w:rFonts w:asciiTheme="majorHAnsi" w:hAnsiTheme="majorHAnsi" w:cstheme="majorHAnsi"/>
          <w:i/>
          <w:sz w:val="28"/>
          <w:szCs w:val="28"/>
        </w:rPr>
        <w:t>1</w:t>
      </w:r>
      <w:r w:rsidR="00B67F2F" w:rsidRPr="00B67F2F">
        <w:rPr>
          <w:rFonts w:asciiTheme="majorHAnsi" w:hAnsiTheme="majorHAnsi" w:cstheme="majorHAnsi"/>
          <w:i/>
          <w:sz w:val="28"/>
          <w:szCs w:val="28"/>
        </w:rPr>
        <w:t xml:space="preserve"> năm </w:t>
      </w:r>
      <w:r w:rsidRPr="002E3EAF">
        <w:rPr>
          <w:rFonts w:asciiTheme="majorHAnsi" w:hAnsiTheme="majorHAnsi" w:cstheme="majorHAnsi"/>
          <w:i/>
          <w:sz w:val="28"/>
          <w:szCs w:val="28"/>
        </w:rPr>
        <w:t>2015 của Thủ tướng Chính phủ về cơ chế quản lý tài chính về bảo hiểm xã hội, bảo hiểm y tế, bảo hiểm thất nghiệp và chi phí quản lý bảo hiểm xã hội, bảo hiểm y tế, bảo hiểm thất nghiệp (sau đây viết tắt là Quyết định số 60/2015/QĐ-TTg);</w:t>
      </w:r>
    </w:p>
    <w:p w:rsidR="002E3EAF" w:rsidRPr="0055217D" w:rsidRDefault="002E3EAF" w:rsidP="002E3EAF">
      <w:pPr>
        <w:spacing w:before="120" w:after="0" w:line="240" w:lineRule="auto"/>
        <w:ind w:firstLine="720"/>
        <w:jc w:val="both"/>
        <w:rPr>
          <w:rFonts w:asciiTheme="majorHAnsi" w:hAnsiTheme="majorHAnsi" w:cstheme="majorHAnsi"/>
          <w:i/>
          <w:sz w:val="28"/>
          <w:szCs w:val="28"/>
        </w:rPr>
      </w:pPr>
      <w:r w:rsidRPr="002E3EAF">
        <w:rPr>
          <w:rFonts w:asciiTheme="majorHAnsi" w:hAnsiTheme="majorHAnsi" w:cstheme="majorHAnsi"/>
          <w:i/>
          <w:sz w:val="28"/>
          <w:szCs w:val="28"/>
        </w:rPr>
        <w:t>Căn cứ Quyết định số</w:t>
      </w:r>
      <w:r w:rsidR="00934D87" w:rsidRPr="00934D87">
        <w:rPr>
          <w:rFonts w:asciiTheme="majorHAnsi" w:hAnsiTheme="majorHAnsi" w:cstheme="majorHAnsi"/>
          <w:i/>
          <w:sz w:val="28"/>
          <w:szCs w:val="28"/>
        </w:rPr>
        <w:t xml:space="preserve"> </w:t>
      </w:r>
      <w:r w:rsidRPr="002E3EAF">
        <w:rPr>
          <w:rFonts w:asciiTheme="majorHAnsi" w:hAnsiTheme="majorHAnsi" w:cstheme="majorHAnsi"/>
          <w:i/>
          <w:sz w:val="28"/>
          <w:szCs w:val="28"/>
        </w:rPr>
        <w:t>38/2019/QĐ-TTg ngày 31</w:t>
      </w:r>
      <w:r w:rsidR="00FD17B7" w:rsidRPr="00FD17B7">
        <w:rPr>
          <w:rFonts w:asciiTheme="majorHAnsi" w:hAnsiTheme="majorHAnsi" w:cstheme="majorHAnsi"/>
          <w:i/>
          <w:sz w:val="28"/>
          <w:szCs w:val="28"/>
        </w:rPr>
        <w:t xml:space="preserve"> </w:t>
      </w:r>
      <w:r w:rsidRPr="002E3EAF">
        <w:rPr>
          <w:rFonts w:asciiTheme="majorHAnsi" w:hAnsiTheme="majorHAnsi" w:cstheme="majorHAnsi"/>
          <w:i/>
          <w:sz w:val="28"/>
          <w:szCs w:val="28"/>
        </w:rPr>
        <w:t>tháng 12 năm 2019 của Thủ tướng Chính phủ sửa đổi, bổ sung một số điều của Quyết định số 60/2015/QĐ-TTg ngày 27</w:t>
      </w:r>
      <w:r w:rsidR="00B67F2F" w:rsidRPr="00B67F2F">
        <w:rPr>
          <w:rFonts w:asciiTheme="majorHAnsi" w:hAnsiTheme="majorHAnsi" w:cstheme="majorHAnsi"/>
          <w:i/>
          <w:sz w:val="28"/>
          <w:szCs w:val="28"/>
        </w:rPr>
        <w:t xml:space="preserve"> tháng </w:t>
      </w:r>
      <w:r w:rsidRPr="002E3EAF">
        <w:rPr>
          <w:rFonts w:asciiTheme="majorHAnsi" w:hAnsiTheme="majorHAnsi" w:cstheme="majorHAnsi"/>
          <w:i/>
          <w:sz w:val="28"/>
          <w:szCs w:val="28"/>
        </w:rPr>
        <w:t>11</w:t>
      </w:r>
      <w:r w:rsidR="00B67F2F" w:rsidRPr="00B67F2F">
        <w:rPr>
          <w:rFonts w:asciiTheme="majorHAnsi" w:hAnsiTheme="majorHAnsi" w:cstheme="majorHAnsi"/>
          <w:i/>
          <w:sz w:val="28"/>
          <w:szCs w:val="28"/>
        </w:rPr>
        <w:t xml:space="preserve"> năm </w:t>
      </w:r>
      <w:r w:rsidRPr="002E3EAF">
        <w:rPr>
          <w:rFonts w:asciiTheme="majorHAnsi" w:hAnsiTheme="majorHAnsi" w:cstheme="majorHAnsi"/>
          <w:i/>
          <w:sz w:val="28"/>
          <w:szCs w:val="28"/>
        </w:rPr>
        <w:t>2015 của Thủ tướng Chính phủ về cơ chế quản lý tài chính về bảo hiểm xã hội, bảo hiểm y tế, bảo hiểm thất nghiệp và chi phí quản lý bảo hiểm xã hội, bảo hiểm y tế, bảo hiểm thất nghiệp (sau đây viết tắt là Quyết định số 38/2019/QĐ-TTg)</w:t>
      </w:r>
      <w:r w:rsidR="0055217D" w:rsidRPr="0055217D">
        <w:rPr>
          <w:rFonts w:asciiTheme="majorHAnsi" w:hAnsiTheme="majorHAnsi" w:cstheme="majorHAnsi"/>
          <w:i/>
          <w:sz w:val="28"/>
          <w:szCs w:val="28"/>
        </w:rPr>
        <w:t>;</w:t>
      </w:r>
    </w:p>
    <w:p w:rsidR="002E3EAF" w:rsidRPr="002E3EAF" w:rsidRDefault="002E3EAF" w:rsidP="002E3EAF">
      <w:pPr>
        <w:spacing w:before="120" w:after="0" w:line="240" w:lineRule="auto"/>
        <w:ind w:firstLine="720"/>
        <w:jc w:val="both"/>
        <w:rPr>
          <w:rFonts w:asciiTheme="majorHAnsi" w:hAnsiTheme="majorHAnsi" w:cstheme="majorHAnsi"/>
          <w:bCs/>
          <w:i/>
          <w:sz w:val="28"/>
          <w:szCs w:val="28"/>
        </w:rPr>
      </w:pPr>
      <w:r w:rsidRPr="002E3EAF">
        <w:rPr>
          <w:rFonts w:asciiTheme="majorHAnsi" w:hAnsiTheme="majorHAnsi" w:cstheme="majorHAnsi"/>
          <w:bCs/>
          <w:i/>
          <w:sz w:val="28"/>
          <w:szCs w:val="28"/>
        </w:rPr>
        <w:t xml:space="preserve"> Theo đề nghị của Vụ trưởng Vụ Tài chính hành chính sự nghiệp;</w:t>
      </w:r>
    </w:p>
    <w:p w:rsidR="002E3EAF" w:rsidRPr="00F967F8" w:rsidRDefault="002E3EAF" w:rsidP="00F967F8">
      <w:pPr>
        <w:spacing w:before="120" w:after="0" w:line="240" w:lineRule="auto"/>
        <w:ind w:firstLine="720"/>
        <w:jc w:val="both"/>
        <w:rPr>
          <w:rStyle w:val="list0020paragraphchar"/>
          <w:rFonts w:asciiTheme="majorHAnsi" w:hAnsiTheme="majorHAnsi" w:cstheme="majorHAnsi"/>
          <w:i/>
          <w:sz w:val="28"/>
          <w:szCs w:val="28"/>
        </w:rPr>
      </w:pPr>
      <w:r w:rsidRPr="002E3EAF">
        <w:rPr>
          <w:rFonts w:asciiTheme="majorHAnsi" w:hAnsiTheme="majorHAnsi" w:cstheme="majorHAnsi"/>
          <w:i/>
          <w:sz w:val="28"/>
          <w:szCs w:val="28"/>
        </w:rPr>
        <w:t>Bộ trưởng Bộ Tài chính ban hành Thông tư sửa đổi, bổ sung một số điều của Thông tư số 20/2016/TT-BTC ngày 03</w:t>
      </w:r>
      <w:r w:rsidR="00B67F2F" w:rsidRPr="00B67F2F">
        <w:rPr>
          <w:rFonts w:asciiTheme="majorHAnsi" w:hAnsiTheme="majorHAnsi" w:cstheme="majorHAnsi"/>
          <w:i/>
          <w:sz w:val="28"/>
          <w:szCs w:val="28"/>
        </w:rPr>
        <w:t xml:space="preserve"> tháng </w:t>
      </w:r>
      <w:r w:rsidRPr="002E3EAF">
        <w:rPr>
          <w:rFonts w:asciiTheme="majorHAnsi" w:hAnsiTheme="majorHAnsi" w:cstheme="majorHAnsi"/>
          <w:i/>
          <w:sz w:val="28"/>
          <w:szCs w:val="28"/>
        </w:rPr>
        <w:t>02</w:t>
      </w:r>
      <w:r w:rsidR="00B67F2F" w:rsidRPr="00B67F2F">
        <w:rPr>
          <w:rFonts w:asciiTheme="majorHAnsi" w:hAnsiTheme="majorHAnsi" w:cstheme="majorHAnsi"/>
          <w:i/>
          <w:sz w:val="28"/>
          <w:szCs w:val="28"/>
        </w:rPr>
        <w:t xml:space="preserve"> năm </w:t>
      </w:r>
      <w:r w:rsidRPr="002E3EAF">
        <w:rPr>
          <w:rFonts w:asciiTheme="majorHAnsi" w:hAnsiTheme="majorHAnsi" w:cstheme="majorHAnsi"/>
          <w:i/>
          <w:sz w:val="28"/>
          <w:szCs w:val="28"/>
        </w:rPr>
        <w:t>2016 của Bộ Tài chính hướng dẫn thực hiện cơ chế quản lý tài chính về bảo hiểm xã hội, bảo hiểm y tế, bảo hiểm thất nghiệp và chi phí quản lý tài chính về bảo hiểm xã hội, bảo hiểm y tế, bảo hiểm thất nghiệp.</w:t>
      </w:r>
    </w:p>
    <w:p w:rsidR="002E3EAF" w:rsidRPr="002E3EAF" w:rsidRDefault="002E3EAF" w:rsidP="00C3239C">
      <w:pPr>
        <w:pStyle w:val="list0020paragraph"/>
        <w:spacing w:before="80" w:beforeAutospacing="0" w:after="0" w:afterAutospacing="0"/>
        <w:ind w:firstLine="720"/>
        <w:jc w:val="both"/>
        <w:rPr>
          <w:rStyle w:val="list0020paragraphchar"/>
          <w:rFonts w:asciiTheme="majorHAnsi" w:hAnsiTheme="majorHAnsi" w:cstheme="majorHAnsi"/>
          <w:b/>
          <w:bCs/>
          <w:sz w:val="28"/>
          <w:szCs w:val="28"/>
          <w:lang w:val="vi-VN"/>
        </w:rPr>
      </w:pPr>
      <w:r w:rsidRPr="002E3EAF">
        <w:rPr>
          <w:rStyle w:val="list0020paragraphchar"/>
          <w:rFonts w:asciiTheme="majorHAnsi" w:hAnsiTheme="majorHAnsi" w:cstheme="majorHAnsi"/>
          <w:b/>
          <w:bCs/>
          <w:sz w:val="28"/>
          <w:szCs w:val="28"/>
          <w:lang w:val="vi-VN"/>
        </w:rPr>
        <w:lastRenderedPageBreak/>
        <w:t>Điều 1. Sửa đổi, bổ sung một số điều của Thông tư số 20/2016/TT-BTC như sau:</w:t>
      </w:r>
    </w:p>
    <w:p w:rsidR="002E3EAF" w:rsidRPr="00F7770B" w:rsidRDefault="002E3EAF" w:rsidP="00C3239C">
      <w:pPr>
        <w:pStyle w:val="list0020paragraph"/>
        <w:spacing w:before="80" w:beforeAutospacing="0" w:after="0" w:afterAutospacing="0"/>
        <w:ind w:firstLine="720"/>
        <w:jc w:val="both"/>
        <w:rPr>
          <w:rFonts w:asciiTheme="majorHAnsi" w:hAnsiTheme="majorHAnsi" w:cstheme="majorHAnsi"/>
          <w:sz w:val="28"/>
          <w:szCs w:val="28"/>
          <w:lang w:val="vi-VN"/>
        </w:rPr>
      </w:pPr>
      <w:r w:rsidRPr="00F7770B">
        <w:rPr>
          <w:rFonts w:asciiTheme="majorHAnsi" w:hAnsiTheme="majorHAnsi" w:cstheme="majorHAnsi"/>
          <w:sz w:val="28"/>
          <w:szCs w:val="28"/>
          <w:lang w:val="vi-VN"/>
        </w:rPr>
        <w:t>1. Sửa đổi Khoản 2 và Khoản 3 Điều 2 như sau:</w:t>
      </w:r>
    </w:p>
    <w:p w:rsidR="002E3EAF" w:rsidRPr="00CC100E" w:rsidRDefault="002E3EAF" w:rsidP="00C3239C">
      <w:pPr>
        <w:spacing w:before="80" w:after="0" w:line="240" w:lineRule="auto"/>
        <w:ind w:firstLine="720"/>
        <w:jc w:val="both"/>
        <w:rPr>
          <w:rFonts w:asciiTheme="majorHAnsi" w:hAnsiTheme="majorHAnsi" w:cstheme="majorHAnsi"/>
          <w:sz w:val="28"/>
          <w:szCs w:val="28"/>
        </w:rPr>
      </w:pPr>
      <w:r w:rsidRPr="00CC100E">
        <w:rPr>
          <w:rFonts w:asciiTheme="majorHAnsi" w:hAnsiTheme="majorHAnsi" w:cstheme="majorHAnsi"/>
          <w:sz w:val="28"/>
          <w:szCs w:val="28"/>
        </w:rPr>
        <w:t xml:space="preserve"> “2. Trung tâm dịch vụ việc làm tỉnh, thành phố trực thuộc Trung ương, tổ chức bảo hiểm thất nghiệp trực thuộc Bộ Lao động</w:t>
      </w:r>
      <w:r w:rsidR="00485938" w:rsidRPr="00CC100E">
        <w:rPr>
          <w:rFonts w:asciiTheme="majorHAnsi" w:hAnsiTheme="majorHAnsi" w:cstheme="majorHAnsi"/>
          <w:sz w:val="28"/>
          <w:szCs w:val="28"/>
        </w:rPr>
        <w:t xml:space="preserve"> </w:t>
      </w:r>
      <w:r w:rsidRPr="00CC100E">
        <w:rPr>
          <w:rFonts w:asciiTheme="majorHAnsi" w:hAnsiTheme="majorHAnsi" w:cstheme="majorHAnsi"/>
          <w:sz w:val="28"/>
          <w:szCs w:val="28"/>
        </w:rPr>
        <w:t>-</w:t>
      </w:r>
      <w:r w:rsidR="00485938" w:rsidRPr="00CC100E">
        <w:rPr>
          <w:rFonts w:asciiTheme="majorHAnsi" w:hAnsiTheme="majorHAnsi" w:cstheme="majorHAnsi"/>
          <w:sz w:val="28"/>
          <w:szCs w:val="28"/>
        </w:rPr>
        <w:t xml:space="preserve"> </w:t>
      </w:r>
      <w:r w:rsidRPr="00CC100E">
        <w:rPr>
          <w:rFonts w:asciiTheme="majorHAnsi" w:hAnsiTheme="majorHAnsi" w:cstheme="majorHAnsi"/>
          <w:sz w:val="28"/>
          <w:szCs w:val="28"/>
        </w:rPr>
        <w:t>Thương binh và Xã hội được giao thực hiện chính sách bảo hiểm thất nghiệp (sau đây gọi chung là tổ chức bảo hiểm thất nghiệp); Cơ quan, tổ chức thuộc ngành Lao động</w:t>
      </w:r>
      <w:r w:rsidR="00ED56A9" w:rsidRPr="00ED56A9">
        <w:rPr>
          <w:rFonts w:asciiTheme="majorHAnsi" w:hAnsiTheme="majorHAnsi" w:cstheme="majorHAnsi"/>
          <w:sz w:val="28"/>
          <w:szCs w:val="28"/>
        </w:rPr>
        <w:t xml:space="preserve"> </w:t>
      </w:r>
      <w:r w:rsidRPr="00CC100E">
        <w:rPr>
          <w:rFonts w:asciiTheme="majorHAnsi" w:hAnsiTheme="majorHAnsi" w:cstheme="majorHAnsi"/>
          <w:sz w:val="28"/>
          <w:szCs w:val="28"/>
        </w:rPr>
        <w:t>-</w:t>
      </w:r>
      <w:r w:rsidR="00ED56A9" w:rsidRPr="00ED56A9">
        <w:rPr>
          <w:rFonts w:asciiTheme="majorHAnsi" w:hAnsiTheme="majorHAnsi" w:cstheme="majorHAnsi"/>
          <w:sz w:val="28"/>
          <w:szCs w:val="28"/>
        </w:rPr>
        <w:t xml:space="preserve"> </w:t>
      </w:r>
      <w:r w:rsidRPr="00CC100E">
        <w:rPr>
          <w:rFonts w:asciiTheme="majorHAnsi" w:hAnsiTheme="majorHAnsi" w:cstheme="majorHAnsi"/>
          <w:sz w:val="28"/>
          <w:szCs w:val="28"/>
        </w:rPr>
        <w:t>Thương binh và Xã hội được giao tổ chức thực hiện nhiệm vụ tiếp nhận hồ sơ, giải quyết chế độ bảo hiểm tai nạn lao động, bệnh nghề nghiệp và các nhiệm vụ liên quan đến quản lý, sử dụng quỹ bảo hiểm tai nạn lao động, bệnh nghề nghiệp.</w:t>
      </w:r>
    </w:p>
    <w:p w:rsidR="002E3EAF" w:rsidRPr="00CC100E" w:rsidRDefault="002E3EAF" w:rsidP="00C3239C">
      <w:pPr>
        <w:spacing w:before="80" w:after="0" w:line="240" w:lineRule="auto"/>
        <w:ind w:firstLine="720"/>
        <w:jc w:val="both"/>
        <w:rPr>
          <w:rFonts w:asciiTheme="majorHAnsi" w:hAnsiTheme="majorHAnsi" w:cstheme="majorHAnsi"/>
          <w:sz w:val="28"/>
          <w:szCs w:val="28"/>
        </w:rPr>
      </w:pPr>
      <w:r w:rsidRPr="00CC100E">
        <w:rPr>
          <w:rFonts w:asciiTheme="majorHAnsi" w:hAnsiTheme="majorHAnsi" w:cstheme="majorHAnsi"/>
          <w:sz w:val="28"/>
          <w:szCs w:val="28"/>
        </w:rPr>
        <w:t>3. Cơ quan, tổ chức, cá nhân có liên quan đến cơ chế quản lý tài chính về bảo hiểm xã hội (bao gồm bảo hiểm tai nạn lao động, bệnh nghề nghiệp), bảo hiểm y tế, bảo hiểm thất nghiệp và chi phí quản lý bảo hiểm xã hội (sau đây viết tắt là BHXH), bảo hiểm y tế, bảo hiểm thất nghiệp.”</w:t>
      </w:r>
    </w:p>
    <w:p w:rsidR="002E3EAF" w:rsidRPr="00F7770B" w:rsidRDefault="002E3EAF" w:rsidP="00C3239C">
      <w:pPr>
        <w:spacing w:before="80" w:after="0" w:line="240" w:lineRule="auto"/>
        <w:ind w:firstLine="720"/>
        <w:jc w:val="both"/>
        <w:rPr>
          <w:rFonts w:asciiTheme="majorHAnsi" w:hAnsiTheme="majorHAnsi" w:cstheme="majorHAnsi"/>
          <w:sz w:val="28"/>
          <w:szCs w:val="28"/>
        </w:rPr>
      </w:pPr>
      <w:r w:rsidRPr="00F7770B">
        <w:rPr>
          <w:rFonts w:asciiTheme="majorHAnsi" w:hAnsiTheme="majorHAnsi" w:cstheme="majorHAnsi"/>
          <w:sz w:val="28"/>
          <w:szCs w:val="28"/>
        </w:rPr>
        <w:t>2. Sửa đổi Điểm c Khoản 2 Điều 3 như sau:</w:t>
      </w:r>
    </w:p>
    <w:p w:rsidR="002E3EAF" w:rsidRPr="00F7770B" w:rsidRDefault="002E3EAF" w:rsidP="00C3239C">
      <w:pPr>
        <w:spacing w:before="80" w:after="0" w:line="240" w:lineRule="auto"/>
        <w:ind w:firstLine="720"/>
        <w:jc w:val="both"/>
        <w:rPr>
          <w:rFonts w:asciiTheme="majorHAnsi" w:hAnsiTheme="majorHAnsi" w:cstheme="majorHAnsi"/>
          <w:sz w:val="28"/>
          <w:szCs w:val="28"/>
        </w:rPr>
      </w:pPr>
      <w:r w:rsidRPr="00F7770B">
        <w:rPr>
          <w:rFonts w:asciiTheme="majorHAnsi" w:hAnsiTheme="majorHAnsi" w:cstheme="majorHAnsi"/>
          <w:sz w:val="28"/>
          <w:szCs w:val="28"/>
        </w:rPr>
        <w:t xml:space="preserve"> “c) Bộ Lao động</w:t>
      </w:r>
      <w:r w:rsidR="00ED56A9" w:rsidRPr="00ED56A9">
        <w:rPr>
          <w:rFonts w:asciiTheme="majorHAnsi" w:hAnsiTheme="majorHAnsi" w:cstheme="majorHAnsi"/>
          <w:sz w:val="28"/>
          <w:szCs w:val="28"/>
        </w:rPr>
        <w:t xml:space="preserve"> </w:t>
      </w:r>
      <w:r w:rsidRPr="00F7770B">
        <w:rPr>
          <w:rFonts w:asciiTheme="majorHAnsi" w:hAnsiTheme="majorHAnsi" w:cstheme="majorHAnsi"/>
          <w:sz w:val="28"/>
          <w:szCs w:val="28"/>
        </w:rPr>
        <w:t>-</w:t>
      </w:r>
      <w:r w:rsidR="00ED56A9" w:rsidRPr="00ED56A9">
        <w:rPr>
          <w:rFonts w:asciiTheme="majorHAnsi" w:hAnsiTheme="majorHAnsi" w:cstheme="majorHAnsi"/>
          <w:sz w:val="28"/>
          <w:szCs w:val="28"/>
        </w:rPr>
        <w:t xml:space="preserve"> </w:t>
      </w:r>
      <w:r w:rsidRPr="00F7770B">
        <w:rPr>
          <w:rFonts w:asciiTheme="majorHAnsi" w:hAnsiTheme="majorHAnsi" w:cstheme="majorHAnsi"/>
          <w:sz w:val="28"/>
          <w:szCs w:val="28"/>
        </w:rPr>
        <w:t>Thương binh và Xã hội lập dự toán chi các chế độ bảo hiểm thất nghiệp, bảo hiểm tai nạn lao động, bệnh nghề nghiệp (sau đây viết tắt là BH TNLĐ, BNN)  và chi phí quản lý bảo hiểm thất nghiệp, bảo hiểm TNLĐ, BNN theo quy định tại Điểm a và b Khoản 1 Điều này, gửi BHXH Việt Nam (mẫu số 02, 04 và 05 ban hành kèm theo Thông tư này).”</w:t>
      </w:r>
    </w:p>
    <w:p w:rsidR="002E3EAF" w:rsidRPr="00F7770B" w:rsidRDefault="002E3EAF" w:rsidP="00C3239C">
      <w:pPr>
        <w:spacing w:before="80" w:after="0" w:line="240" w:lineRule="auto"/>
        <w:ind w:firstLine="720"/>
        <w:jc w:val="both"/>
        <w:rPr>
          <w:rFonts w:asciiTheme="majorHAnsi" w:hAnsiTheme="majorHAnsi" w:cstheme="majorHAnsi"/>
          <w:sz w:val="28"/>
          <w:szCs w:val="28"/>
        </w:rPr>
      </w:pPr>
      <w:r w:rsidRPr="00F7770B">
        <w:rPr>
          <w:rFonts w:asciiTheme="majorHAnsi" w:hAnsiTheme="majorHAnsi" w:cstheme="majorHAnsi"/>
          <w:sz w:val="28"/>
          <w:szCs w:val="28"/>
        </w:rPr>
        <w:t>3. Sửa đổi Điều 4 như sau:</w:t>
      </w:r>
    </w:p>
    <w:p w:rsidR="002E3EAF" w:rsidRPr="002E3EAF" w:rsidRDefault="002E3EAF" w:rsidP="00C3239C">
      <w:pPr>
        <w:spacing w:before="80" w:after="0" w:line="240" w:lineRule="auto"/>
        <w:ind w:firstLine="720"/>
        <w:jc w:val="both"/>
        <w:rPr>
          <w:rFonts w:asciiTheme="majorHAnsi" w:hAnsiTheme="majorHAnsi" w:cstheme="majorHAnsi"/>
          <w:b/>
          <w:sz w:val="28"/>
          <w:szCs w:val="28"/>
        </w:rPr>
      </w:pPr>
      <w:r w:rsidRPr="002E3EAF">
        <w:rPr>
          <w:rFonts w:asciiTheme="majorHAnsi" w:hAnsiTheme="majorHAnsi" w:cstheme="majorHAnsi"/>
          <w:b/>
          <w:sz w:val="28"/>
          <w:szCs w:val="28"/>
        </w:rPr>
        <w:t xml:space="preserve">“Điều 4. Phân bổ, giao dự toán, chuyển kinh phí </w:t>
      </w:r>
    </w:p>
    <w:p w:rsidR="002E3EAF" w:rsidRPr="00F7770B" w:rsidRDefault="002E3EAF" w:rsidP="00C3239C">
      <w:pPr>
        <w:pStyle w:val="ListParagraph"/>
        <w:numPr>
          <w:ilvl w:val="0"/>
          <w:numId w:val="1"/>
        </w:numPr>
        <w:tabs>
          <w:tab w:val="left" w:pos="993"/>
        </w:tabs>
        <w:spacing w:before="80" w:after="0" w:line="240" w:lineRule="auto"/>
        <w:ind w:left="0" w:firstLine="720"/>
        <w:contextualSpacing w:val="0"/>
        <w:jc w:val="both"/>
        <w:rPr>
          <w:rFonts w:asciiTheme="majorHAnsi" w:hAnsiTheme="majorHAnsi" w:cstheme="majorHAnsi"/>
          <w:szCs w:val="28"/>
        </w:rPr>
      </w:pPr>
      <w:r w:rsidRPr="00F7770B">
        <w:rPr>
          <w:rFonts w:asciiTheme="majorHAnsi" w:hAnsiTheme="majorHAnsi" w:cstheme="majorHAnsi"/>
          <w:szCs w:val="28"/>
        </w:rPr>
        <w:t xml:space="preserve">Về phân bổ dự toán, chuyển kinh phí chi lương hưu, trợ cấp </w:t>
      </w:r>
      <w:r w:rsidR="00647EC6" w:rsidRPr="00F7770B">
        <w:rPr>
          <w:rFonts w:asciiTheme="majorHAnsi" w:hAnsiTheme="majorHAnsi" w:cstheme="majorHAnsi"/>
          <w:szCs w:val="28"/>
        </w:rPr>
        <w:t xml:space="preserve">Bảo hiểm xã hội </w:t>
      </w:r>
      <w:r w:rsidRPr="00F7770B">
        <w:rPr>
          <w:rFonts w:asciiTheme="majorHAnsi" w:hAnsiTheme="majorHAnsi" w:cstheme="majorHAnsi"/>
          <w:szCs w:val="28"/>
        </w:rPr>
        <w:t>từ nguồn ngân sách nhà nước đảm bảo</w:t>
      </w:r>
      <w:r w:rsidR="00F7770B" w:rsidRPr="00F7770B">
        <w:rPr>
          <w:rFonts w:asciiTheme="majorHAnsi" w:hAnsiTheme="majorHAnsi" w:cstheme="majorHAnsi"/>
          <w:szCs w:val="28"/>
        </w:rPr>
        <w:t>:</w:t>
      </w:r>
    </w:p>
    <w:p w:rsidR="002E3EAF" w:rsidRPr="00EB1217" w:rsidRDefault="002E3EAF" w:rsidP="00C3239C">
      <w:pPr>
        <w:shd w:val="clear" w:color="auto" w:fill="FFFFFF"/>
        <w:spacing w:before="80" w:after="0" w:line="240" w:lineRule="auto"/>
        <w:ind w:firstLine="720"/>
        <w:jc w:val="both"/>
        <w:rPr>
          <w:rFonts w:asciiTheme="majorHAnsi" w:hAnsiTheme="majorHAnsi" w:cstheme="majorHAnsi"/>
          <w:i/>
          <w:sz w:val="28"/>
          <w:szCs w:val="28"/>
          <w:lang w:eastAsia="vi-VN"/>
        </w:rPr>
      </w:pPr>
      <w:r w:rsidRPr="002E3EAF">
        <w:rPr>
          <w:rFonts w:asciiTheme="majorHAnsi" w:hAnsiTheme="majorHAnsi" w:cstheme="majorHAnsi"/>
          <w:sz w:val="28"/>
          <w:szCs w:val="28"/>
          <w:lang w:eastAsia="vi-VN"/>
        </w:rPr>
        <w:t>a) Căn cứ dự toán chi ngân sách nhà nước được cấp có thẩm quyền giao, BHXH Việt Nam phân bổ dự toán chi tiết theo các chế độ quy định tại </w:t>
      </w:r>
      <w:bookmarkStart w:id="0" w:name="dc_93"/>
      <w:r w:rsidRPr="002E3EAF">
        <w:rPr>
          <w:rFonts w:asciiTheme="majorHAnsi" w:hAnsiTheme="majorHAnsi" w:cstheme="majorHAnsi"/>
          <w:sz w:val="28"/>
          <w:szCs w:val="28"/>
          <w:lang w:eastAsia="vi-VN"/>
        </w:rPr>
        <w:t>Điều 27 Nghị định số 115/2015/NĐ-CP</w:t>
      </w:r>
      <w:bookmarkEnd w:id="0"/>
      <w:r w:rsidRPr="002E3EAF">
        <w:rPr>
          <w:rFonts w:asciiTheme="majorHAnsi" w:hAnsiTheme="majorHAnsi" w:cstheme="majorHAnsi"/>
          <w:sz w:val="28"/>
          <w:szCs w:val="28"/>
          <w:lang w:eastAsia="vi-VN"/>
        </w:rPr>
        <w:t> ngày 11 tháng 11 năm 2015 của Chính phủ quy định chi tiết một số điều của Luật BHXH về BHXH bắt buộc, gửi Bộ Tài chính để thẩm định theo quy định của Luật Ngân sách nhà nước</w:t>
      </w:r>
      <w:r w:rsidR="00EB1217" w:rsidRPr="00EB1217">
        <w:rPr>
          <w:rFonts w:asciiTheme="majorHAnsi" w:hAnsiTheme="majorHAnsi" w:cstheme="majorHAnsi"/>
          <w:sz w:val="28"/>
          <w:szCs w:val="28"/>
          <w:lang w:eastAsia="vi-VN"/>
        </w:rPr>
        <w:t>;</w:t>
      </w:r>
    </w:p>
    <w:p w:rsidR="002E3EAF" w:rsidRPr="00EB1217" w:rsidRDefault="002E3EAF" w:rsidP="00C3239C">
      <w:pPr>
        <w:shd w:val="clear" w:color="auto" w:fill="FFFFFF"/>
        <w:spacing w:before="80" w:after="0" w:line="240" w:lineRule="auto"/>
        <w:ind w:firstLine="720"/>
        <w:jc w:val="both"/>
        <w:rPr>
          <w:rFonts w:asciiTheme="majorHAnsi" w:hAnsiTheme="majorHAnsi" w:cstheme="majorHAnsi"/>
          <w:sz w:val="28"/>
          <w:szCs w:val="28"/>
          <w:lang w:eastAsia="vi-VN"/>
        </w:rPr>
      </w:pPr>
      <w:r w:rsidRPr="002E3EAF">
        <w:rPr>
          <w:rFonts w:asciiTheme="majorHAnsi" w:hAnsiTheme="majorHAnsi" w:cstheme="majorHAnsi"/>
          <w:sz w:val="28"/>
          <w:szCs w:val="28"/>
          <w:lang w:eastAsia="vi-VN"/>
        </w:rPr>
        <w:t>b) Trước ngày 25 hằng tháng, Bộ Tài chính chuyển từ ngân sách trung ương một khoản kinh phí bằng mức chi bình quân một tháng của dự toán được cấp có thẩm quyền giao trong năm (trong đó có chi phí chi trả) vào quỹ BHXH để BHXH Việt Nam thực hiện chi trả cho người thụ hưởng trong tháng tiếp theo</w:t>
      </w:r>
      <w:r w:rsidR="00EB1217" w:rsidRPr="00EB1217">
        <w:rPr>
          <w:rFonts w:asciiTheme="majorHAnsi" w:hAnsiTheme="majorHAnsi" w:cstheme="majorHAnsi"/>
          <w:sz w:val="28"/>
          <w:szCs w:val="28"/>
          <w:lang w:eastAsia="vi-VN"/>
        </w:rPr>
        <w:t>;</w:t>
      </w:r>
    </w:p>
    <w:p w:rsidR="002E3EAF" w:rsidRPr="002E3EAF" w:rsidRDefault="002E3EAF" w:rsidP="00C3239C">
      <w:pPr>
        <w:shd w:val="clear" w:color="auto" w:fill="FFFFFF"/>
        <w:spacing w:before="80" w:after="0" w:line="240" w:lineRule="auto"/>
        <w:ind w:firstLine="720"/>
        <w:jc w:val="both"/>
        <w:rPr>
          <w:rFonts w:asciiTheme="majorHAnsi" w:hAnsiTheme="majorHAnsi" w:cstheme="majorHAnsi"/>
          <w:sz w:val="28"/>
          <w:szCs w:val="28"/>
          <w:lang w:eastAsia="vi-VN"/>
        </w:rPr>
      </w:pPr>
      <w:r w:rsidRPr="002E3EAF">
        <w:rPr>
          <w:rFonts w:asciiTheme="majorHAnsi" w:hAnsiTheme="majorHAnsi" w:cstheme="majorHAnsi"/>
          <w:sz w:val="28"/>
          <w:szCs w:val="28"/>
          <w:lang w:eastAsia="vi-VN"/>
        </w:rPr>
        <w:t>c)</w:t>
      </w:r>
      <w:r w:rsidRPr="002E3EAF">
        <w:rPr>
          <w:rFonts w:asciiTheme="majorHAnsi" w:hAnsiTheme="majorHAnsi" w:cstheme="majorHAnsi"/>
          <w:szCs w:val="28"/>
          <w:lang w:eastAsia="vi-VN"/>
        </w:rPr>
        <w:t xml:space="preserve"> </w:t>
      </w:r>
      <w:r w:rsidRPr="002E3EAF">
        <w:rPr>
          <w:rFonts w:asciiTheme="majorHAnsi" w:hAnsiTheme="majorHAnsi" w:cstheme="majorHAnsi"/>
          <w:sz w:val="28"/>
          <w:szCs w:val="28"/>
          <w:lang w:eastAsia="vi-VN"/>
        </w:rPr>
        <w:t>Sau khi quyết toán năm được duyệt, nếu số kinh phí Bộ Tài chính đã chuyển vào quỹ BHXH lớn hơn số quyết toán, BHXH Việt Nam nộp trả ngân sách trung ương phần chênh lệch thừa. Trường hợp số kinh phí Bộ Tài chính đã chuyển vào quỹ BHXH nhỏ hơn số quyết toán, Bộ Tài chính trình cấp có thẩm quyền cấp bổ sung phần chênh lệch thiếu cho BHXH Việt Nam.</w:t>
      </w:r>
    </w:p>
    <w:p w:rsidR="002E3EAF" w:rsidRPr="00A103FA" w:rsidRDefault="002E3EAF" w:rsidP="00C3239C">
      <w:pPr>
        <w:tabs>
          <w:tab w:val="left" w:pos="709"/>
        </w:tabs>
        <w:spacing w:before="80" w:after="0" w:line="240" w:lineRule="auto"/>
        <w:jc w:val="both"/>
        <w:rPr>
          <w:rFonts w:asciiTheme="majorHAnsi" w:hAnsiTheme="majorHAnsi" w:cstheme="majorHAnsi"/>
          <w:sz w:val="28"/>
          <w:szCs w:val="28"/>
        </w:rPr>
      </w:pPr>
      <w:r w:rsidRPr="002E3EAF">
        <w:rPr>
          <w:rFonts w:asciiTheme="majorHAnsi" w:hAnsiTheme="majorHAnsi" w:cstheme="majorHAnsi"/>
          <w:i/>
          <w:sz w:val="28"/>
          <w:szCs w:val="28"/>
        </w:rPr>
        <w:lastRenderedPageBreak/>
        <w:tab/>
      </w:r>
      <w:r w:rsidRPr="00A103FA">
        <w:rPr>
          <w:rFonts w:asciiTheme="majorHAnsi" w:hAnsiTheme="majorHAnsi" w:cstheme="majorHAnsi"/>
          <w:sz w:val="28"/>
          <w:szCs w:val="28"/>
        </w:rPr>
        <w:t>2. Về phân bổ, giao dự toán chi phí quản lý bảo hiểm thất nghiệp, BHTNLĐ-BNN: Trong thời hạn 15 ngày làm việc, kể từ ngày nhận được quyết định giao dự toán của Thủ tướng Chính phủ, Bộ Lao động</w:t>
      </w:r>
      <w:r w:rsidR="00E84007" w:rsidRPr="00E84007">
        <w:rPr>
          <w:rFonts w:asciiTheme="majorHAnsi" w:hAnsiTheme="majorHAnsi" w:cstheme="majorHAnsi"/>
          <w:sz w:val="28"/>
          <w:szCs w:val="28"/>
        </w:rPr>
        <w:t xml:space="preserve"> </w:t>
      </w:r>
      <w:r w:rsidRPr="00A103FA">
        <w:rPr>
          <w:rFonts w:asciiTheme="majorHAnsi" w:hAnsiTheme="majorHAnsi" w:cstheme="majorHAnsi"/>
          <w:sz w:val="28"/>
          <w:szCs w:val="28"/>
        </w:rPr>
        <w:t>-</w:t>
      </w:r>
      <w:r w:rsidR="00E84007" w:rsidRPr="00E84007">
        <w:rPr>
          <w:rFonts w:asciiTheme="majorHAnsi" w:hAnsiTheme="majorHAnsi" w:cstheme="majorHAnsi"/>
          <w:sz w:val="28"/>
          <w:szCs w:val="28"/>
        </w:rPr>
        <w:t xml:space="preserve"> </w:t>
      </w:r>
      <w:r w:rsidRPr="00A103FA">
        <w:rPr>
          <w:rFonts w:asciiTheme="majorHAnsi" w:hAnsiTheme="majorHAnsi" w:cstheme="majorHAnsi"/>
          <w:sz w:val="28"/>
          <w:szCs w:val="28"/>
        </w:rPr>
        <w:t>Thương binh và Xã hội hoàn thành việc phân bổ và giao dự toán chi phí quản lý bảo hiểm thất nghiệp cho Cục Việc làm và các Trung tâm dịch vụ việc làm thuộc Sở Lao động</w:t>
      </w:r>
      <w:r w:rsidR="00ED56A9" w:rsidRPr="00ED56A9">
        <w:rPr>
          <w:rFonts w:asciiTheme="majorHAnsi" w:hAnsiTheme="majorHAnsi" w:cstheme="majorHAnsi"/>
          <w:sz w:val="28"/>
          <w:szCs w:val="28"/>
        </w:rPr>
        <w:t xml:space="preserve"> </w:t>
      </w:r>
      <w:r w:rsidRPr="00A103FA">
        <w:rPr>
          <w:rFonts w:asciiTheme="majorHAnsi" w:hAnsiTheme="majorHAnsi" w:cstheme="majorHAnsi"/>
          <w:sz w:val="28"/>
          <w:szCs w:val="28"/>
        </w:rPr>
        <w:t>-</w:t>
      </w:r>
      <w:r w:rsidR="00ED56A9" w:rsidRPr="00ED56A9">
        <w:rPr>
          <w:rFonts w:asciiTheme="majorHAnsi" w:hAnsiTheme="majorHAnsi" w:cstheme="majorHAnsi"/>
          <w:sz w:val="28"/>
          <w:szCs w:val="28"/>
        </w:rPr>
        <w:t xml:space="preserve"> </w:t>
      </w:r>
      <w:r w:rsidRPr="00A103FA">
        <w:rPr>
          <w:rFonts w:asciiTheme="majorHAnsi" w:hAnsiTheme="majorHAnsi" w:cstheme="majorHAnsi"/>
          <w:sz w:val="28"/>
          <w:szCs w:val="28"/>
        </w:rPr>
        <w:t>Thương binh và Xã hội; chi phí quản lý bảo hiểm tai nạn lao động, bệnh nghề nghiệp cho Cục An toàn lao động và các Sở Lao động</w:t>
      </w:r>
      <w:r w:rsidR="003E078D" w:rsidRPr="003E078D">
        <w:rPr>
          <w:rFonts w:asciiTheme="majorHAnsi" w:hAnsiTheme="majorHAnsi" w:cstheme="majorHAnsi"/>
          <w:sz w:val="28"/>
          <w:szCs w:val="28"/>
        </w:rPr>
        <w:t xml:space="preserve"> </w:t>
      </w:r>
      <w:r w:rsidRPr="00A103FA">
        <w:rPr>
          <w:rFonts w:asciiTheme="majorHAnsi" w:hAnsiTheme="majorHAnsi" w:cstheme="majorHAnsi"/>
          <w:sz w:val="28"/>
          <w:szCs w:val="28"/>
        </w:rPr>
        <w:t>-</w:t>
      </w:r>
      <w:r w:rsidR="003E078D" w:rsidRPr="003E078D">
        <w:rPr>
          <w:rFonts w:asciiTheme="majorHAnsi" w:hAnsiTheme="majorHAnsi" w:cstheme="majorHAnsi"/>
          <w:sz w:val="28"/>
          <w:szCs w:val="28"/>
        </w:rPr>
        <w:t xml:space="preserve"> </w:t>
      </w:r>
      <w:r w:rsidRPr="00A103FA">
        <w:rPr>
          <w:rFonts w:asciiTheme="majorHAnsi" w:hAnsiTheme="majorHAnsi" w:cstheme="majorHAnsi"/>
          <w:sz w:val="28"/>
          <w:szCs w:val="28"/>
        </w:rPr>
        <w:t xml:space="preserve">Thương binh và Xã hội. </w:t>
      </w:r>
    </w:p>
    <w:p w:rsidR="002E3EAF" w:rsidRPr="00A103FA" w:rsidRDefault="002E3EAF" w:rsidP="00C3239C">
      <w:pPr>
        <w:tabs>
          <w:tab w:val="left" w:pos="993"/>
        </w:tabs>
        <w:spacing w:before="80" w:after="0" w:line="240" w:lineRule="auto"/>
        <w:jc w:val="both"/>
        <w:rPr>
          <w:rFonts w:asciiTheme="majorHAnsi" w:hAnsiTheme="majorHAnsi" w:cstheme="majorHAnsi"/>
          <w:sz w:val="28"/>
          <w:szCs w:val="28"/>
        </w:rPr>
      </w:pPr>
      <w:r w:rsidRPr="00A103FA">
        <w:rPr>
          <w:rFonts w:asciiTheme="majorHAnsi" w:hAnsiTheme="majorHAnsi" w:cstheme="majorHAnsi"/>
          <w:sz w:val="28"/>
          <w:szCs w:val="28"/>
        </w:rPr>
        <w:t xml:space="preserve">          3. Chuyển kinh phí chi trả chế độ và chi phí quản lý BHXH, bảo hiểm y tế, bảo hiểm thất nghiệp, BH TNLĐ BNN cho </w:t>
      </w:r>
      <w:r w:rsidRPr="00A103FA">
        <w:rPr>
          <w:rFonts w:asciiTheme="majorHAnsi" w:hAnsiTheme="majorHAnsi" w:cstheme="majorHAnsi"/>
          <w:sz w:val="28"/>
          <w:szCs w:val="28"/>
          <w:lang w:eastAsia="vi-VN"/>
        </w:rPr>
        <w:t>BHXH Bộ Quốc phòng, BHXH Bộ Công an và Bộ Lao</w:t>
      </w:r>
      <w:r w:rsidR="00A103FA" w:rsidRPr="00A103FA">
        <w:rPr>
          <w:rFonts w:asciiTheme="majorHAnsi" w:hAnsiTheme="majorHAnsi" w:cstheme="majorHAnsi"/>
          <w:sz w:val="28"/>
          <w:szCs w:val="28"/>
          <w:lang w:eastAsia="vi-VN"/>
        </w:rPr>
        <w:t xml:space="preserve"> </w:t>
      </w:r>
      <w:r w:rsidRPr="00A103FA">
        <w:rPr>
          <w:rFonts w:asciiTheme="majorHAnsi" w:hAnsiTheme="majorHAnsi" w:cstheme="majorHAnsi"/>
          <w:sz w:val="28"/>
          <w:szCs w:val="28"/>
        </w:rPr>
        <w:t>động</w:t>
      </w:r>
      <w:r w:rsidR="00E84007" w:rsidRPr="00E84007">
        <w:rPr>
          <w:rFonts w:asciiTheme="majorHAnsi" w:hAnsiTheme="majorHAnsi" w:cstheme="majorHAnsi"/>
          <w:sz w:val="28"/>
          <w:szCs w:val="28"/>
        </w:rPr>
        <w:t xml:space="preserve"> </w:t>
      </w:r>
      <w:r w:rsidRPr="00A103FA">
        <w:rPr>
          <w:rFonts w:asciiTheme="majorHAnsi" w:hAnsiTheme="majorHAnsi" w:cstheme="majorHAnsi"/>
          <w:sz w:val="28"/>
          <w:szCs w:val="28"/>
        </w:rPr>
        <w:t>-</w:t>
      </w:r>
      <w:r w:rsidR="00E84007" w:rsidRPr="00E84007">
        <w:rPr>
          <w:rFonts w:asciiTheme="majorHAnsi" w:hAnsiTheme="majorHAnsi" w:cstheme="majorHAnsi"/>
          <w:sz w:val="28"/>
          <w:szCs w:val="28"/>
        </w:rPr>
        <w:t xml:space="preserve"> </w:t>
      </w:r>
      <w:r w:rsidRPr="00A103FA">
        <w:rPr>
          <w:rFonts w:asciiTheme="majorHAnsi" w:hAnsiTheme="majorHAnsi" w:cstheme="majorHAnsi"/>
          <w:sz w:val="28"/>
          <w:szCs w:val="28"/>
        </w:rPr>
        <w:t>Thương binh và Xã hội</w:t>
      </w:r>
      <w:r w:rsidR="00A103FA" w:rsidRPr="00A103FA">
        <w:rPr>
          <w:rFonts w:asciiTheme="majorHAnsi" w:hAnsiTheme="majorHAnsi" w:cstheme="majorHAnsi"/>
          <w:sz w:val="28"/>
          <w:szCs w:val="28"/>
        </w:rPr>
        <w:t>:</w:t>
      </w:r>
      <w:r w:rsidRPr="00A103FA">
        <w:rPr>
          <w:rFonts w:asciiTheme="majorHAnsi" w:hAnsiTheme="majorHAnsi" w:cstheme="majorHAnsi"/>
          <w:sz w:val="28"/>
          <w:szCs w:val="28"/>
        </w:rPr>
        <w:t xml:space="preserve"> </w:t>
      </w:r>
    </w:p>
    <w:p w:rsidR="002E3EAF" w:rsidRPr="00EB1217" w:rsidRDefault="002E3EAF" w:rsidP="00C3239C">
      <w:pPr>
        <w:tabs>
          <w:tab w:val="left" w:pos="709"/>
        </w:tabs>
        <w:spacing w:before="80" w:after="0" w:line="240" w:lineRule="auto"/>
        <w:jc w:val="both"/>
        <w:rPr>
          <w:rFonts w:asciiTheme="majorHAnsi" w:hAnsiTheme="majorHAnsi" w:cstheme="majorHAnsi"/>
          <w:color w:val="FF0000"/>
          <w:sz w:val="28"/>
          <w:szCs w:val="28"/>
          <w:lang w:eastAsia="vi-VN"/>
        </w:rPr>
      </w:pPr>
      <w:r w:rsidRPr="00A103FA">
        <w:rPr>
          <w:rFonts w:asciiTheme="majorHAnsi" w:hAnsiTheme="majorHAnsi" w:cstheme="majorHAnsi"/>
          <w:sz w:val="28"/>
          <w:szCs w:val="28"/>
          <w:lang w:eastAsia="vi-VN"/>
        </w:rPr>
        <w:tab/>
        <w:t>a) Trước ngày 25 hằng tháng, BHXH Việt Nam chuyển kinh phí chi trả chế độ</w:t>
      </w:r>
      <w:r w:rsidR="00E46A6E" w:rsidRPr="00A103FA">
        <w:rPr>
          <w:rFonts w:asciiTheme="majorHAnsi" w:hAnsiTheme="majorHAnsi" w:cstheme="majorHAnsi"/>
          <w:sz w:val="28"/>
          <w:szCs w:val="28"/>
          <w:lang w:eastAsia="vi-VN"/>
        </w:rPr>
        <w:t xml:space="preserve"> BHXH, </w:t>
      </w:r>
      <w:r w:rsidRPr="00A103FA">
        <w:rPr>
          <w:rFonts w:asciiTheme="majorHAnsi" w:hAnsiTheme="majorHAnsi" w:cstheme="majorHAnsi"/>
          <w:sz w:val="28"/>
          <w:szCs w:val="28"/>
          <w:lang w:eastAsia="vi-VN"/>
        </w:rPr>
        <w:t>bảo hiểm thất nghiệp, bảo hiểm tai nạn lao động, bệnh nghề nghiệp bằng mức chi bình quân một tháng của dự toán được cấp có thẩm quyền giao trong năm để BHXH Bộ Quốc phòng, BHXH Bộ Công an  thực hiện chi trả cho người thụ hưởng trong tháng tiếp theo. Trường hợp mức chi trong tháng thay đổi, BHXH Bộ Quốc phòng, BHXH Bộ Công an có văn bản gửi BHXH Việt Nam để cấp kinh phí chi trả chế độ kịp thời.</w:t>
      </w:r>
      <w:r w:rsidR="00E46A6E" w:rsidRPr="00A103FA">
        <w:rPr>
          <w:rFonts w:asciiTheme="majorHAnsi" w:hAnsiTheme="majorHAnsi" w:cstheme="majorHAnsi"/>
          <w:sz w:val="28"/>
          <w:szCs w:val="28"/>
          <w:lang w:eastAsia="vi-VN"/>
        </w:rPr>
        <w:t xml:space="preserve"> </w:t>
      </w:r>
      <w:r w:rsidR="00E46A6E" w:rsidRPr="00A103FA">
        <w:rPr>
          <w:rFonts w:asciiTheme="majorHAnsi" w:hAnsiTheme="majorHAnsi" w:cstheme="majorHAnsi"/>
          <w:color w:val="000000" w:themeColor="text1"/>
          <w:sz w:val="28"/>
          <w:szCs w:val="28"/>
          <w:lang w:eastAsia="vi-VN"/>
        </w:rPr>
        <w:t>Việc chuyển kinh phí chi khám bệnh, chữa bệnh bảo hiểm y tế theo quy định của Luật Bảo hiểm y tế</w:t>
      </w:r>
      <w:r w:rsidR="00EB1217" w:rsidRPr="00EB1217">
        <w:rPr>
          <w:rFonts w:asciiTheme="majorHAnsi" w:hAnsiTheme="majorHAnsi" w:cstheme="majorHAnsi"/>
          <w:color w:val="000000" w:themeColor="text1"/>
          <w:sz w:val="28"/>
          <w:szCs w:val="28"/>
          <w:lang w:eastAsia="vi-VN"/>
        </w:rPr>
        <w:t>;</w:t>
      </w:r>
    </w:p>
    <w:p w:rsidR="008064D4" w:rsidRPr="00EB1217" w:rsidRDefault="002E3EAF" w:rsidP="008064D4">
      <w:pPr>
        <w:tabs>
          <w:tab w:val="left" w:pos="709"/>
        </w:tabs>
        <w:spacing w:before="120" w:after="0" w:line="240" w:lineRule="auto"/>
        <w:jc w:val="both"/>
        <w:rPr>
          <w:rFonts w:asciiTheme="majorHAnsi" w:hAnsiTheme="majorHAnsi" w:cstheme="majorHAnsi"/>
          <w:sz w:val="28"/>
          <w:szCs w:val="28"/>
          <w:lang w:eastAsia="vi-VN"/>
        </w:rPr>
      </w:pPr>
      <w:r w:rsidRPr="00A103FA">
        <w:rPr>
          <w:rFonts w:asciiTheme="majorHAnsi" w:hAnsiTheme="majorHAnsi" w:cstheme="majorHAnsi"/>
          <w:sz w:val="28"/>
          <w:szCs w:val="28"/>
          <w:lang w:eastAsia="vi-VN"/>
        </w:rPr>
        <w:tab/>
        <w:t xml:space="preserve"> </w:t>
      </w:r>
      <w:r w:rsidRPr="00A103FA">
        <w:rPr>
          <w:rFonts w:asciiTheme="majorHAnsi" w:hAnsiTheme="majorHAnsi" w:cstheme="majorHAnsi"/>
          <w:sz w:val="28"/>
          <w:szCs w:val="28"/>
        </w:rPr>
        <w:t xml:space="preserve">b) Định kỳ trước ngày 10 của tháng đầu tiên trong quý, </w:t>
      </w:r>
      <w:r w:rsidRPr="00A103FA">
        <w:rPr>
          <w:rFonts w:asciiTheme="majorHAnsi" w:hAnsiTheme="majorHAnsi" w:cstheme="majorHAnsi"/>
          <w:sz w:val="28"/>
          <w:szCs w:val="28"/>
          <w:lang w:eastAsia="vi-VN"/>
        </w:rPr>
        <w:t xml:space="preserve">BHXH Việt Nam chuyển chi phí quản lý của BHXH Bộ Quốc phòng, BHXH Bộ Công an và Bộ Lao động - Thương binh và Xã hội (Cục Việc làm, Cục An toàn lao động) bằng bình quân một quý của dự toán được giao.Việc chuyển kinh phí </w:t>
      </w:r>
      <w:r w:rsidR="0020050C" w:rsidRPr="00A103FA">
        <w:rPr>
          <w:rFonts w:asciiTheme="majorHAnsi" w:hAnsiTheme="majorHAnsi" w:cstheme="majorHAnsi"/>
          <w:sz w:val="28"/>
          <w:szCs w:val="28"/>
          <w:lang w:eastAsia="vi-VN"/>
        </w:rPr>
        <w:t xml:space="preserve"> ứng dụng công nghệ thông tin</w:t>
      </w:r>
      <w:r w:rsidRPr="00A103FA">
        <w:rPr>
          <w:rFonts w:asciiTheme="majorHAnsi" w:hAnsiTheme="majorHAnsi" w:cstheme="majorHAnsi"/>
          <w:sz w:val="28"/>
          <w:szCs w:val="28"/>
          <w:lang w:eastAsia="vi-VN"/>
        </w:rPr>
        <w:t xml:space="preserve"> </w:t>
      </w:r>
      <w:r w:rsidR="008064D4" w:rsidRPr="00A103FA">
        <w:rPr>
          <w:rFonts w:asciiTheme="majorHAnsi" w:hAnsiTheme="majorHAnsi" w:cstheme="majorHAnsi"/>
          <w:sz w:val="28"/>
          <w:szCs w:val="28"/>
          <w:lang w:eastAsia="vi-VN"/>
        </w:rPr>
        <w:t>theo quy định tại Nghị định số 64/2007/NĐ-CP ngày 10 tháng 4 năm 2007 của Chính phủ về ứng dụng công nghệ thông tin trong hoạt động của cơ quan nhà nước</w:t>
      </w:r>
      <w:r w:rsidR="00EB1217" w:rsidRPr="00EB1217">
        <w:rPr>
          <w:rFonts w:asciiTheme="majorHAnsi" w:hAnsiTheme="majorHAnsi" w:cstheme="majorHAnsi"/>
          <w:sz w:val="28"/>
          <w:szCs w:val="28"/>
          <w:lang w:eastAsia="vi-VN"/>
        </w:rPr>
        <w:t>;</w:t>
      </w:r>
    </w:p>
    <w:p w:rsidR="002E3EAF" w:rsidRPr="00A103FA" w:rsidRDefault="002E3EAF" w:rsidP="00C3239C">
      <w:pPr>
        <w:tabs>
          <w:tab w:val="left" w:pos="709"/>
        </w:tabs>
        <w:spacing w:before="80" w:after="0" w:line="240" w:lineRule="auto"/>
        <w:jc w:val="both"/>
        <w:rPr>
          <w:rFonts w:asciiTheme="majorHAnsi" w:hAnsiTheme="majorHAnsi" w:cstheme="majorHAnsi"/>
          <w:sz w:val="28"/>
          <w:szCs w:val="28"/>
          <w:lang w:eastAsia="vi-VN"/>
        </w:rPr>
      </w:pPr>
      <w:r w:rsidRPr="00A103FA">
        <w:rPr>
          <w:rFonts w:asciiTheme="majorHAnsi" w:hAnsiTheme="majorHAnsi" w:cstheme="majorHAnsi"/>
          <w:sz w:val="28"/>
          <w:szCs w:val="28"/>
          <w:lang w:eastAsia="vi-VN"/>
        </w:rPr>
        <w:t xml:space="preserve"> </w:t>
      </w:r>
      <w:r w:rsidRPr="00A103FA">
        <w:rPr>
          <w:rFonts w:asciiTheme="majorHAnsi" w:hAnsiTheme="majorHAnsi" w:cstheme="majorHAnsi"/>
          <w:sz w:val="28"/>
          <w:szCs w:val="28"/>
          <w:lang w:eastAsia="vi-VN"/>
        </w:rPr>
        <w:tab/>
        <w:t xml:space="preserve">c) Trường hợp đến thời gian chuyển kinh phí chi chế độ BHXH, bảo hiểm y tế, bảo hiểm thất nghiệp và chi phí quản lý cho các đơn vị theo quy định nhưng chưa có dự toán được cấp có thẩm quyền giao, BHXH Việt Nam tạm cấp kinh phí như sau: Chi phí quản lý bằng bình quân một tháng của dự toán giao năm trước liền kề; chi BHXH, bảo hiểm thất nghiệp đảm bảo đủ kinh phí chi trả chế độ BHXH, bảo hiểm thất nghiệp cho người hưởng theo thực tế; mức tạm ứng chi khám bệnh, chữa bệnh bảo hiểm y tế, theo quy định của Luật Bảo hiểm y tế.” </w:t>
      </w:r>
    </w:p>
    <w:p w:rsidR="002E3EAF" w:rsidRPr="00F85600" w:rsidRDefault="002E3EAF" w:rsidP="00C3239C">
      <w:pPr>
        <w:tabs>
          <w:tab w:val="left" w:pos="709"/>
        </w:tabs>
        <w:spacing w:before="80" w:after="0" w:line="240" w:lineRule="auto"/>
        <w:jc w:val="both"/>
        <w:rPr>
          <w:rFonts w:asciiTheme="majorHAnsi" w:hAnsiTheme="majorHAnsi" w:cstheme="majorHAnsi"/>
          <w:sz w:val="28"/>
          <w:szCs w:val="28"/>
        </w:rPr>
      </w:pPr>
      <w:r w:rsidRPr="00F85600">
        <w:rPr>
          <w:rFonts w:asciiTheme="majorHAnsi" w:hAnsiTheme="majorHAnsi" w:cstheme="majorHAnsi"/>
          <w:i/>
          <w:sz w:val="28"/>
          <w:szCs w:val="28"/>
          <w:lang w:eastAsia="vi-VN"/>
        </w:rPr>
        <w:tab/>
      </w:r>
      <w:r w:rsidRPr="00F85600">
        <w:rPr>
          <w:rFonts w:asciiTheme="majorHAnsi" w:hAnsiTheme="majorHAnsi" w:cstheme="majorHAnsi"/>
          <w:sz w:val="28"/>
          <w:szCs w:val="28"/>
        </w:rPr>
        <w:t>4. Sửa đổi Điểm a Khoản 1 Điều 7 như sau:</w:t>
      </w:r>
    </w:p>
    <w:p w:rsidR="002E3EAF" w:rsidRPr="00F85600" w:rsidRDefault="002E3EAF" w:rsidP="00C3239C">
      <w:pPr>
        <w:spacing w:before="80" w:after="0" w:line="240" w:lineRule="auto"/>
        <w:ind w:firstLine="720"/>
        <w:jc w:val="both"/>
        <w:rPr>
          <w:rFonts w:asciiTheme="majorHAnsi" w:hAnsiTheme="majorHAnsi" w:cstheme="majorHAnsi"/>
          <w:sz w:val="28"/>
          <w:szCs w:val="28"/>
        </w:rPr>
      </w:pPr>
      <w:r w:rsidRPr="00F85600">
        <w:rPr>
          <w:rFonts w:asciiTheme="majorHAnsi" w:hAnsiTheme="majorHAnsi" w:cstheme="majorHAnsi"/>
          <w:sz w:val="28"/>
          <w:szCs w:val="28"/>
        </w:rPr>
        <w:t xml:space="preserve">“a) Khi thẩm định quyết toán năm đối với quỹ khám bệnh, chữa bệnh bảo hiểm y tế của BHXH cấp tỉnh, có trách nhiệm ghi rõ trong biên bản thẩm định quyết toán khoản 20% kinh phí dành cho khám bệnh, chữa bệnh bảo hiểm y tế chưa sử dụng hết (nếu có) được sử dụng tại địa phương theo quy định tại </w:t>
      </w:r>
      <w:r w:rsidR="002E1CBD" w:rsidRPr="00F85600">
        <w:rPr>
          <w:rFonts w:asciiTheme="majorHAnsi" w:hAnsiTheme="majorHAnsi" w:cstheme="majorHAnsi"/>
          <w:sz w:val="28"/>
          <w:szCs w:val="28"/>
        </w:rPr>
        <w:t xml:space="preserve">điểm a khoản 3 Điều 35 Luật Bảo hiểm y tế </w:t>
      </w:r>
      <w:r w:rsidR="0020050C" w:rsidRPr="00F85600">
        <w:rPr>
          <w:rFonts w:ascii="Times New Roman" w:hAnsi="Times New Roman"/>
          <w:spacing w:val="-2"/>
          <w:sz w:val="28"/>
          <w:szCs w:val="28"/>
        </w:rPr>
        <w:t>năm 2008 đã</w:t>
      </w:r>
      <w:r w:rsidR="0020050C" w:rsidRPr="00F85600">
        <w:rPr>
          <w:rFonts w:ascii="Times New Roman" w:hAnsi="Times New Roman"/>
          <w:spacing w:val="-2"/>
          <w:sz w:val="28"/>
          <w:szCs w:val="30"/>
          <w:lang w:val="sq-AL"/>
        </w:rPr>
        <w:t xml:space="preserve"> được sửa đổi, bổ sung năm 2014 </w:t>
      </w:r>
      <w:r w:rsidR="002E1CBD" w:rsidRPr="00F85600">
        <w:rPr>
          <w:rFonts w:asciiTheme="majorHAnsi" w:hAnsiTheme="majorHAnsi" w:cstheme="majorHAnsi"/>
          <w:sz w:val="28"/>
          <w:szCs w:val="28"/>
        </w:rPr>
        <w:t xml:space="preserve"> </w:t>
      </w:r>
      <w:r w:rsidRPr="00F85600">
        <w:rPr>
          <w:rFonts w:asciiTheme="majorHAnsi" w:hAnsiTheme="majorHAnsi" w:cstheme="majorHAnsi"/>
          <w:sz w:val="28"/>
          <w:szCs w:val="28"/>
        </w:rPr>
        <w:t>(sau đây viết tắt là khoản 20% được sử dụng tại địa phương)</w:t>
      </w:r>
      <w:r w:rsidR="00EB1217" w:rsidRPr="00EB1217">
        <w:rPr>
          <w:rFonts w:asciiTheme="majorHAnsi" w:hAnsiTheme="majorHAnsi" w:cstheme="majorHAnsi"/>
          <w:sz w:val="28"/>
          <w:szCs w:val="28"/>
        </w:rPr>
        <w:t>;</w:t>
      </w:r>
      <w:r w:rsidRPr="00F85600">
        <w:rPr>
          <w:rFonts w:asciiTheme="majorHAnsi" w:hAnsiTheme="majorHAnsi" w:cstheme="majorHAnsi"/>
          <w:sz w:val="28"/>
          <w:szCs w:val="28"/>
        </w:rPr>
        <w:t xml:space="preserve">” </w:t>
      </w:r>
    </w:p>
    <w:p w:rsidR="008064D4" w:rsidRPr="003B440B" w:rsidRDefault="008064D4" w:rsidP="00C3239C">
      <w:pPr>
        <w:spacing w:before="80" w:after="0" w:line="240" w:lineRule="auto"/>
        <w:ind w:firstLine="720"/>
        <w:jc w:val="both"/>
        <w:rPr>
          <w:rFonts w:asciiTheme="majorHAnsi" w:hAnsiTheme="majorHAnsi" w:cstheme="majorHAnsi"/>
          <w:sz w:val="28"/>
          <w:szCs w:val="28"/>
        </w:rPr>
      </w:pPr>
    </w:p>
    <w:p w:rsidR="002E3EAF" w:rsidRPr="00061E2F" w:rsidRDefault="002E3EAF" w:rsidP="00C3239C">
      <w:pPr>
        <w:pStyle w:val="list0020paragraph"/>
        <w:spacing w:before="80" w:beforeAutospacing="0" w:after="0" w:afterAutospacing="0"/>
        <w:ind w:firstLine="720"/>
        <w:jc w:val="both"/>
        <w:rPr>
          <w:rFonts w:asciiTheme="majorHAnsi" w:hAnsiTheme="majorHAnsi" w:cstheme="majorHAnsi"/>
          <w:sz w:val="28"/>
          <w:szCs w:val="28"/>
          <w:lang w:val="vi-VN"/>
        </w:rPr>
      </w:pPr>
      <w:r w:rsidRPr="00061E2F">
        <w:rPr>
          <w:rStyle w:val="list0020paragraphchar"/>
          <w:rFonts w:asciiTheme="majorHAnsi" w:hAnsiTheme="majorHAnsi" w:cstheme="majorHAnsi"/>
          <w:bCs/>
          <w:sz w:val="28"/>
          <w:szCs w:val="28"/>
          <w:lang w:val="vi-VN"/>
        </w:rPr>
        <w:lastRenderedPageBreak/>
        <w:t>5.</w:t>
      </w:r>
      <w:r w:rsidRPr="00061E2F">
        <w:rPr>
          <w:rFonts w:asciiTheme="majorHAnsi" w:hAnsiTheme="majorHAnsi" w:cstheme="majorHAnsi"/>
          <w:sz w:val="28"/>
          <w:szCs w:val="28"/>
          <w:lang w:val="vi-VN"/>
        </w:rPr>
        <w:t xml:space="preserve"> Sửa đổi Khoản 1, Khoản 2 Điều 8 như sau:</w:t>
      </w:r>
    </w:p>
    <w:p w:rsidR="002E3EAF" w:rsidRPr="00061E2F" w:rsidRDefault="002E3EAF" w:rsidP="00C3239C">
      <w:pPr>
        <w:spacing w:before="80" w:after="0" w:line="240" w:lineRule="auto"/>
        <w:ind w:firstLine="720"/>
        <w:jc w:val="both"/>
        <w:rPr>
          <w:rFonts w:asciiTheme="majorHAnsi" w:hAnsiTheme="majorHAnsi" w:cstheme="majorHAnsi"/>
          <w:sz w:val="28"/>
          <w:szCs w:val="28"/>
        </w:rPr>
      </w:pPr>
      <w:r w:rsidRPr="00061E2F">
        <w:rPr>
          <w:rFonts w:asciiTheme="majorHAnsi" w:hAnsiTheme="majorHAnsi" w:cstheme="majorHAnsi"/>
          <w:sz w:val="28"/>
          <w:szCs w:val="28"/>
        </w:rPr>
        <w:t>“1. Căn cứ nội dung và mức chi phí quản lý quy định tại Điều 9 và Điều 10 Quyết định số 60/201</w:t>
      </w:r>
      <w:r w:rsidR="00DF1B88" w:rsidRPr="00061E2F">
        <w:rPr>
          <w:rFonts w:asciiTheme="majorHAnsi" w:hAnsiTheme="majorHAnsi" w:cstheme="majorHAnsi"/>
          <w:sz w:val="28"/>
          <w:szCs w:val="28"/>
        </w:rPr>
        <w:t>5</w:t>
      </w:r>
      <w:r w:rsidRPr="00061E2F">
        <w:rPr>
          <w:rFonts w:asciiTheme="majorHAnsi" w:hAnsiTheme="majorHAnsi" w:cstheme="majorHAnsi"/>
          <w:sz w:val="28"/>
          <w:szCs w:val="28"/>
        </w:rPr>
        <w:t>/QĐ-TTg đã được sửa đổi, bổ</w:t>
      </w:r>
      <w:r w:rsidR="002F3D7D" w:rsidRPr="00061E2F">
        <w:rPr>
          <w:rFonts w:asciiTheme="majorHAnsi" w:hAnsiTheme="majorHAnsi" w:cstheme="majorHAnsi"/>
          <w:sz w:val="28"/>
          <w:szCs w:val="28"/>
        </w:rPr>
        <w:t xml:space="preserve"> sung tại</w:t>
      </w:r>
      <w:r w:rsidR="00B863C6" w:rsidRPr="00061E2F">
        <w:rPr>
          <w:rFonts w:asciiTheme="majorHAnsi" w:hAnsiTheme="majorHAnsi" w:cstheme="majorHAnsi"/>
          <w:sz w:val="28"/>
          <w:szCs w:val="28"/>
        </w:rPr>
        <w:t xml:space="preserve"> Khoản 9 và Khoản 10 Điều 1</w:t>
      </w:r>
      <w:r w:rsidR="002F3D7D" w:rsidRPr="00061E2F">
        <w:rPr>
          <w:rFonts w:asciiTheme="majorHAnsi" w:hAnsiTheme="majorHAnsi" w:cstheme="majorHAnsi"/>
          <w:sz w:val="28"/>
          <w:szCs w:val="28"/>
        </w:rPr>
        <w:t xml:space="preserve"> </w:t>
      </w:r>
      <w:r w:rsidRPr="00061E2F">
        <w:rPr>
          <w:rFonts w:asciiTheme="majorHAnsi" w:hAnsiTheme="majorHAnsi" w:cstheme="majorHAnsi"/>
          <w:sz w:val="28"/>
          <w:szCs w:val="28"/>
        </w:rPr>
        <w:t>Quyết định số 38/2019/QĐ-TTg, Tổng giám đốc BHXH Việt Nam xây dựng và ban hành quy chế chi tiêu nội bộ đối với các đơn vị trực thuộc BHXH Việt Nam trên cơ sở tiêu chuẩn, định mức, chế độ do Nhà nước quy định để tổ chức thực hiện”.</w:t>
      </w:r>
    </w:p>
    <w:p w:rsidR="002E3EAF" w:rsidRPr="00061E2F" w:rsidRDefault="002E3EAF" w:rsidP="00C3239C">
      <w:pPr>
        <w:spacing w:before="80" w:after="0" w:line="240" w:lineRule="auto"/>
        <w:ind w:firstLine="720"/>
        <w:jc w:val="both"/>
        <w:rPr>
          <w:rFonts w:asciiTheme="majorHAnsi" w:hAnsiTheme="majorHAnsi" w:cstheme="majorHAnsi"/>
          <w:sz w:val="28"/>
          <w:szCs w:val="28"/>
        </w:rPr>
      </w:pPr>
      <w:r w:rsidRPr="00061E2F">
        <w:rPr>
          <w:rFonts w:asciiTheme="majorHAnsi" w:hAnsiTheme="majorHAnsi" w:cstheme="majorHAnsi"/>
          <w:sz w:val="28"/>
          <w:szCs w:val="28"/>
        </w:rPr>
        <w:t xml:space="preserve">2. Phương pháp phân bổ khoản chi phí thu BHXH tự nguyện, thu BHYT của người tham gia theo hộ gia đình, của học sinh, sinh viên đang theo học tại các cơ sở giáo dục thuộc hệ thống giáo dục quốc dân (chi phí thu) </w:t>
      </w:r>
      <w:r w:rsidRPr="00061E2F">
        <w:rPr>
          <w:rFonts w:asciiTheme="majorHAnsi" w:eastAsia=".VnTime" w:hAnsiTheme="majorHAnsi" w:cstheme="majorHAnsi"/>
          <w:sz w:val="28"/>
          <w:szCs w:val="28"/>
        </w:rPr>
        <w:t xml:space="preserve">theo quy định tại điểm b khoản 9 </w:t>
      </w:r>
      <w:r w:rsidRPr="00061E2F">
        <w:rPr>
          <w:rFonts w:asciiTheme="majorHAnsi" w:hAnsiTheme="majorHAnsi" w:cstheme="majorHAnsi"/>
          <w:iCs/>
          <w:sz w:val="28"/>
          <w:szCs w:val="28"/>
        </w:rPr>
        <w:t xml:space="preserve">Điều 1 </w:t>
      </w:r>
      <w:r w:rsidRPr="00061E2F">
        <w:rPr>
          <w:rFonts w:asciiTheme="majorHAnsi" w:hAnsiTheme="majorHAnsi" w:cstheme="majorHAnsi"/>
          <w:sz w:val="28"/>
          <w:szCs w:val="28"/>
        </w:rPr>
        <w:t>Quyết định số 38/2019/QĐ-TTg:</w:t>
      </w:r>
    </w:p>
    <w:p w:rsidR="002E3EAF" w:rsidRPr="006F6BE6" w:rsidRDefault="002E3EAF" w:rsidP="00C3239C">
      <w:pPr>
        <w:spacing w:before="80" w:after="0" w:line="240" w:lineRule="auto"/>
        <w:ind w:firstLine="720"/>
        <w:jc w:val="both"/>
        <w:rPr>
          <w:rFonts w:asciiTheme="majorHAnsi" w:hAnsiTheme="majorHAnsi" w:cstheme="majorHAnsi"/>
          <w:sz w:val="28"/>
          <w:szCs w:val="28"/>
        </w:rPr>
      </w:pPr>
      <w:r w:rsidRPr="006F6BE6">
        <w:rPr>
          <w:rFonts w:asciiTheme="majorHAnsi" w:hAnsiTheme="majorHAnsi" w:cstheme="majorHAnsi"/>
          <w:sz w:val="28"/>
          <w:szCs w:val="28"/>
        </w:rPr>
        <w:t xml:space="preserve">a) Mức chi phí thu </w:t>
      </w:r>
      <w:r w:rsidRPr="006F6BE6">
        <w:rPr>
          <w:rFonts w:asciiTheme="majorHAnsi" w:eastAsia=".VnTime" w:hAnsiTheme="majorHAnsi" w:cstheme="majorHAnsi"/>
          <w:sz w:val="28"/>
          <w:szCs w:val="28"/>
        </w:rPr>
        <w:t xml:space="preserve">bình quân toàn ngành </w:t>
      </w:r>
      <w:r w:rsidRPr="006F6BE6">
        <w:rPr>
          <w:rFonts w:asciiTheme="majorHAnsi" w:hAnsiTheme="majorHAnsi" w:cstheme="majorHAnsi"/>
          <w:sz w:val="28"/>
          <w:szCs w:val="28"/>
        </w:rPr>
        <w:t>bằng 7,5% số tiền đóng của người tham gia; BHXH Việt Nam thực hiện như sau:</w:t>
      </w:r>
    </w:p>
    <w:p w:rsidR="002E3EAF" w:rsidRPr="006F6BE6" w:rsidRDefault="002E3EAF" w:rsidP="00C3239C">
      <w:pPr>
        <w:spacing w:before="80" w:after="0" w:line="240" w:lineRule="auto"/>
        <w:ind w:firstLine="720"/>
        <w:jc w:val="both"/>
        <w:rPr>
          <w:rFonts w:asciiTheme="majorHAnsi" w:hAnsiTheme="majorHAnsi" w:cstheme="majorHAnsi"/>
          <w:sz w:val="28"/>
          <w:szCs w:val="28"/>
        </w:rPr>
      </w:pPr>
      <w:r w:rsidRPr="006F6BE6">
        <w:rPr>
          <w:rFonts w:asciiTheme="majorHAnsi" w:hAnsiTheme="majorHAnsi" w:cstheme="majorHAnsi"/>
          <w:sz w:val="28"/>
          <w:szCs w:val="28"/>
        </w:rPr>
        <w:t xml:space="preserve">- Mức chi thù lao cho tổ chức làm đại lý thu theo quy định tại Điểm b Khoản 9 Điều 1 Quyết định số 38/2019/QĐ-TTg. </w:t>
      </w:r>
      <w:r w:rsidRPr="006F6BE6">
        <w:rPr>
          <w:rFonts w:asciiTheme="majorHAnsi" w:hAnsiTheme="majorHAnsi" w:cstheme="majorHAnsi"/>
          <w:sz w:val="28"/>
          <w:szCs w:val="28"/>
          <w:lang w:val="da-DK"/>
        </w:rPr>
        <w:t xml:space="preserve">Tổng Giám đốc BHXH Việt Nam quyết định mức chi thù lao đại lý cụ thể đối với từng nhóm đối tượng tham gia (đối tượng tham gia lần đầu, đối tượng tiếp tục tham gia) và của từng tỉnh, thành phố trực thuộc Trung ương phù hợp với tình hình thực tế </w:t>
      </w:r>
      <w:r w:rsidR="00E7245F" w:rsidRPr="006F6BE6">
        <w:rPr>
          <w:rFonts w:asciiTheme="majorHAnsi" w:hAnsiTheme="majorHAnsi" w:cstheme="majorHAnsi"/>
          <w:sz w:val="28"/>
          <w:szCs w:val="28"/>
          <w:lang w:val="da-DK"/>
        </w:rPr>
        <w:t xml:space="preserve">và </w:t>
      </w:r>
      <w:r w:rsidRPr="006F6BE6">
        <w:rPr>
          <w:rFonts w:asciiTheme="majorHAnsi" w:hAnsiTheme="majorHAnsi" w:cstheme="majorHAnsi"/>
          <w:sz w:val="28"/>
          <w:szCs w:val="28"/>
          <w:lang w:val="da-DK"/>
        </w:rPr>
        <w:t>trong phạm vi mức thù lao được trích</w:t>
      </w:r>
      <w:r w:rsidR="00EB1217">
        <w:rPr>
          <w:rFonts w:asciiTheme="majorHAnsi" w:hAnsiTheme="majorHAnsi" w:cstheme="majorHAnsi"/>
          <w:sz w:val="28"/>
          <w:szCs w:val="28"/>
          <w:lang w:val="da-DK"/>
        </w:rPr>
        <w:t>;</w:t>
      </w:r>
    </w:p>
    <w:p w:rsidR="005B7305" w:rsidRPr="00EB1217" w:rsidRDefault="002E3EAF" w:rsidP="00C3239C">
      <w:pPr>
        <w:spacing w:before="80" w:after="0" w:line="240" w:lineRule="auto"/>
        <w:ind w:firstLine="720"/>
        <w:jc w:val="both"/>
        <w:rPr>
          <w:rFonts w:ascii="Times New Roman" w:hAnsi="Times New Roman"/>
          <w:sz w:val="28"/>
          <w:szCs w:val="28"/>
        </w:rPr>
      </w:pPr>
      <w:r w:rsidRPr="006F6BE6">
        <w:rPr>
          <w:rFonts w:asciiTheme="majorHAnsi" w:hAnsiTheme="majorHAnsi" w:cstheme="majorHAnsi"/>
          <w:sz w:val="28"/>
          <w:szCs w:val="28"/>
        </w:rPr>
        <w:t xml:space="preserve"> </w:t>
      </w:r>
      <w:r w:rsidRPr="006F6BE6">
        <w:rPr>
          <w:rFonts w:asciiTheme="majorHAnsi" w:eastAsia="Times New Roman" w:hAnsiTheme="majorHAnsi" w:cstheme="majorHAnsi"/>
          <w:snapToGrid w:val="0"/>
          <w:sz w:val="28"/>
          <w:szCs w:val="28"/>
          <w:lang w:val="sv-SE"/>
        </w:rPr>
        <w:t xml:space="preserve">- </w:t>
      </w:r>
      <w:r w:rsidR="005B7305" w:rsidRPr="006F6BE6">
        <w:rPr>
          <w:rFonts w:ascii="Times New Roman" w:hAnsi="Times New Roman"/>
          <w:sz w:val="28"/>
          <w:szCs w:val="28"/>
        </w:rPr>
        <w:t xml:space="preserve">Chi phí thu còn lại sau khi chi thù lao cho đại lý thu được để lại cho Ngành BHXH sử dụng </w:t>
      </w:r>
      <w:r w:rsidR="00067A86" w:rsidRPr="006F6BE6">
        <w:rPr>
          <w:rFonts w:ascii="Times New Roman" w:hAnsi="Times New Roman"/>
          <w:sz w:val="28"/>
          <w:szCs w:val="28"/>
        </w:rPr>
        <w:t>chi phí cho việc đào tạo, tập huấn công tác thu, kiểm tra đại lý thu và tổ chức hội nghị khách hàng</w:t>
      </w:r>
      <w:r w:rsidR="005B7305" w:rsidRPr="006F6BE6">
        <w:rPr>
          <w:rFonts w:ascii="Times New Roman" w:hAnsi="Times New Roman"/>
          <w:sz w:val="28"/>
          <w:szCs w:val="28"/>
        </w:rPr>
        <w:t>. BHXH Việt Nam phân bổ cho BHXH các tỉnh, thành phố và các đơn vị có liên quan để tổ chức thực hiện</w:t>
      </w:r>
      <w:r w:rsidR="00EB1217" w:rsidRPr="00EB1217">
        <w:rPr>
          <w:rFonts w:ascii="Times New Roman" w:hAnsi="Times New Roman"/>
          <w:sz w:val="28"/>
          <w:szCs w:val="28"/>
        </w:rPr>
        <w:t>;</w:t>
      </w:r>
    </w:p>
    <w:p w:rsidR="002E3EAF" w:rsidRPr="002E3EAF" w:rsidRDefault="002E3EAF" w:rsidP="00C3239C">
      <w:pPr>
        <w:spacing w:before="80" w:after="0" w:line="240" w:lineRule="auto"/>
        <w:ind w:firstLine="720"/>
        <w:jc w:val="both"/>
        <w:rPr>
          <w:rFonts w:asciiTheme="majorHAnsi" w:hAnsiTheme="majorHAnsi" w:cstheme="majorHAnsi"/>
          <w:sz w:val="28"/>
          <w:szCs w:val="28"/>
          <w:lang w:val="da-DK"/>
        </w:rPr>
      </w:pPr>
      <w:r w:rsidRPr="002E3EAF">
        <w:rPr>
          <w:rFonts w:asciiTheme="majorHAnsi" w:hAnsiTheme="majorHAnsi" w:cstheme="majorHAnsi"/>
          <w:sz w:val="28"/>
          <w:szCs w:val="28"/>
          <w:lang w:val="da-DK"/>
        </w:rPr>
        <w:t>b) C</w:t>
      </w:r>
      <w:r w:rsidRPr="002E3EAF">
        <w:rPr>
          <w:rFonts w:asciiTheme="majorHAnsi" w:eastAsia=".VnTime" w:hAnsiTheme="majorHAnsi" w:cstheme="majorHAnsi"/>
          <w:sz w:val="28"/>
          <w:szCs w:val="28"/>
          <w:lang w:val="da-DK"/>
        </w:rPr>
        <w:t>ơ quan BHXH c</w:t>
      </w:r>
      <w:r w:rsidRPr="002E3EAF">
        <w:rPr>
          <w:rFonts w:asciiTheme="majorHAnsi" w:hAnsiTheme="majorHAnsi" w:cstheme="majorHAnsi"/>
          <w:sz w:val="28"/>
          <w:szCs w:val="28"/>
          <w:lang w:val="da-DK"/>
        </w:rPr>
        <w:t xml:space="preserve">ăn cứ số tiền và danh sách tham gia do đại lý thu nộp để </w:t>
      </w:r>
      <w:r w:rsidRPr="002E3EAF">
        <w:rPr>
          <w:rFonts w:asciiTheme="majorHAnsi" w:eastAsia=".VnTime" w:hAnsiTheme="majorHAnsi" w:cstheme="majorHAnsi"/>
          <w:sz w:val="28"/>
          <w:szCs w:val="28"/>
          <w:lang w:val="da-DK"/>
        </w:rPr>
        <w:t>chi trả chi phí thù lao cho đại lý thu</w:t>
      </w:r>
      <w:r w:rsidRPr="002E3EAF">
        <w:rPr>
          <w:rFonts w:asciiTheme="majorHAnsi" w:hAnsiTheme="majorHAnsi" w:cstheme="majorHAnsi"/>
          <w:sz w:val="28"/>
          <w:szCs w:val="28"/>
          <w:lang w:val="da-DK"/>
        </w:rPr>
        <w:t>; số tiền chi trả tương ứng mức chi thù lao theo tỷ lệ % trên số thu do Tổng Giám đốc BHXH Việt Nam quy định</w:t>
      </w:r>
      <w:r w:rsidR="00EB1217">
        <w:rPr>
          <w:rFonts w:asciiTheme="majorHAnsi" w:hAnsiTheme="majorHAnsi" w:cstheme="majorHAnsi"/>
          <w:sz w:val="28"/>
          <w:szCs w:val="28"/>
          <w:lang w:val="da-DK"/>
        </w:rPr>
        <w:t>;</w:t>
      </w:r>
    </w:p>
    <w:p w:rsidR="002E3EAF" w:rsidRPr="002E3EAF" w:rsidRDefault="002E3EAF" w:rsidP="00C3239C">
      <w:pPr>
        <w:spacing w:before="80" w:after="0" w:line="240" w:lineRule="auto"/>
        <w:ind w:firstLine="720"/>
        <w:jc w:val="both"/>
        <w:rPr>
          <w:rFonts w:asciiTheme="majorHAnsi" w:hAnsiTheme="majorHAnsi" w:cstheme="majorHAnsi"/>
          <w:noProof/>
          <w:sz w:val="28"/>
          <w:szCs w:val="28"/>
          <w:lang w:val="da-DK"/>
        </w:rPr>
      </w:pPr>
      <w:r w:rsidRPr="002E3EAF">
        <w:rPr>
          <w:rFonts w:asciiTheme="majorHAnsi" w:hAnsiTheme="majorHAnsi" w:cstheme="majorHAnsi"/>
          <w:sz w:val="28"/>
          <w:szCs w:val="28"/>
          <w:lang w:val="da-DK"/>
        </w:rPr>
        <w:t>c) Cơ quan BHXH có trách nhiệm cung cấp mẫu biểu để tổ chức làm đại lý thu</w:t>
      </w:r>
      <w:r w:rsidRPr="002E3EAF">
        <w:rPr>
          <w:rFonts w:asciiTheme="majorHAnsi" w:hAnsiTheme="majorHAnsi" w:cstheme="majorHAnsi"/>
          <w:noProof/>
          <w:sz w:val="28"/>
          <w:szCs w:val="28"/>
          <w:lang w:val="da-DK"/>
        </w:rPr>
        <w:t xml:space="preserve"> tự in ấn phục vụ cho việc lập danh sách người tham gia.”</w:t>
      </w:r>
    </w:p>
    <w:p w:rsidR="002E3EAF" w:rsidRPr="00572227" w:rsidRDefault="002E3EAF" w:rsidP="00C3239C">
      <w:pPr>
        <w:pStyle w:val="list0020paragraph"/>
        <w:spacing w:before="80" w:beforeAutospacing="0" w:after="0" w:afterAutospacing="0"/>
        <w:ind w:firstLine="720"/>
        <w:jc w:val="both"/>
        <w:rPr>
          <w:rFonts w:asciiTheme="majorHAnsi" w:hAnsiTheme="majorHAnsi" w:cstheme="majorHAnsi"/>
          <w:snapToGrid w:val="0"/>
          <w:sz w:val="28"/>
          <w:szCs w:val="28"/>
          <w:lang w:val="sv-SE"/>
        </w:rPr>
      </w:pPr>
      <w:r w:rsidRPr="00572227">
        <w:rPr>
          <w:rFonts w:asciiTheme="majorHAnsi" w:hAnsiTheme="majorHAnsi" w:cstheme="majorHAnsi"/>
          <w:snapToGrid w:val="0"/>
          <w:sz w:val="28"/>
          <w:szCs w:val="28"/>
          <w:lang w:val="sv-SE"/>
        </w:rPr>
        <w:t>6. Sửa đổi Khoản 3 Điều 8 như sau:</w:t>
      </w:r>
    </w:p>
    <w:p w:rsidR="002E3EAF" w:rsidRPr="00572227" w:rsidRDefault="002E3EAF" w:rsidP="00C3239C">
      <w:pPr>
        <w:pStyle w:val="list0020paragraph"/>
        <w:spacing w:before="80" w:beforeAutospacing="0" w:after="0" w:afterAutospacing="0"/>
        <w:ind w:firstLine="720"/>
        <w:jc w:val="both"/>
        <w:rPr>
          <w:rFonts w:asciiTheme="majorHAnsi" w:hAnsiTheme="majorHAnsi" w:cstheme="majorHAnsi"/>
          <w:snapToGrid w:val="0"/>
          <w:sz w:val="28"/>
          <w:szCs w:val="28"/>
          <w:lang w:val="sv-SE"/>
        </w:rPr>
      </w:pPr>
      <w:r w:rsidRPr="00572227">
        <w:rPr>
          <w:rFonts w:asciiTheme="majorHAnsi" w:hAnsiTheme="majorHAnsi" w:cstheme="majorHAnsi"/>
          <w:sz w:val="28"/>
          <w:szCs w:val="28"/>
          <w:lang w:val="sv-SE"/>
        </w:rPr>
        <w:t>“</w:t>
      </w:r>
      <w:r w:rsidRPr="00572227">
        <w:rPr>
          <w:rFonts w:asciiTheme="majorHAnsi" w:hAnsiTheme="majorHAnsi" w:cstheme="majorHAnsi"/>
          <w:snapToGrid w:val="0"/>
          <w:sz w:val="28"/>
          <w:szCs w:val="28"/>
          <w:lang w:val="sv-SE"/>
        </w:rPr>
        <w:t>3. Phương pháp phân bổ khoản chi phí chi trả lương hưu, trợ cấp BHXH và trợ cấp thất nghiệp theo quy định tại Khoản 4 và Điểm b Khoản 9 Điều 1 Quyết định số 38/2019/QĐ-TTg:</w:t>
      </w:r>
    </w:p>
    <w:p w:rsidR="002E3EAF" w:rsidRPr="00572227" w:rsidRDefault="002E3EAF" w:rsidP="00C3239C">
      <w:pPr>
        <w:pStyle w:val="list0020paragraph"/>
        <w:spacing w:before="80" w:beforeAutospacing="0" w:after="0" w:afterAutospacing="0"/>
        <w:ind w:firstLine="720"/>
        <w:jc w:val="both"/>
        <w:rPr>
          <w:rFonts w:asciiTheme="majorHAnsi" w:hAnsiTheme="majorHAnsi" w:cstheme="majorHAnsi"/>
          <w:snapToGrid w:val="0"/>
          <w:sz w:val="28"/>
          <w:szCs w:val="28"/>
          <w:lang w:val="sv-SE"/>
        </w:rPr>
      </w:pPr>
      <w:r w:rsidRPr="00572227">
        <w:rPr>
          <w:rFonts w:asciiTheme="majorHAnsi" w:hAnsiTheme="majorHAnsi" w:cstheme="majorHAnsi"/>
          <w:snapToGrid w:val="0"/>
          <w:sz w:val="28"/>
          <w:szCs w:val="28"/>
          <w:lang w:val="sv-SE"/>
        </w:rPr>
        <w:t xml:space="preserve">a) Mức chi phí chi trả lương hưu, trợ cấp bảo hiểm xã hội và trợ cấp thất nghiệp (mức chi phí chi trả) bình quân toàn ngành bằng 0,65% tổng số tiền chi trả các chế độ </w:t>
      </w:r>
      <w:r w:rsidR="00572227">
        <w:rPr>
          <w:rFonts w:asciiTheme="majorHAnsi" w:hAnsiTheme="majorHAnsi" w:cstheme="majorHAnsi"/>
          <w:snapToGrid w:val="0"/>
          <w:sz w:val="28"/>
          <w:szCs w:val="28"/>
          <w:lang w:val="sv-SE"/>
        </w:rPr>
        <w:t>BHXH</w:t>
      </w:r>
      <w:r w:rsidRPr="00572227">
        <w:rPr>
          <w:rFonts w:asciiTheme="majorHAnsi" w:hAnsiTheme="majorHAnsi" w:cstheme="majorHAnsi"/>
          <w:snapToGrid w:val="0"/>
          <w:sz w:val="28"/>
          <w:szCs w:val="28"/>
          <w:lang w:val="sv-SE"/>
        </w:rPr>
        <w:t xml:space="preserve"> theo quy định tại Khoản 4 và Điểm b Khoản 9 Điều 1 Quyết định số 38/2019/QĐ-TTg, BHXH Việt Nam thực hiện như sau:</w:t>
      </w:r>
    </w:p>
    <w:p w:rsidR="002E3EAF" w:rsidRPr="00572227" w:rsidRDefault="002E3EAF" w:rsidP="00C3239C">
      <w:pPr>
        <w:pStyle w:val="list0020paragraph"/>
        <w:spacing w:before="80" w:beforeAutospacing="0" w:after="0" w:afterAutospacing="0"/>
        <w:ind w:firstLine="720"/>
        <w:jc w:val="both"/>
        <w:rPr>
          <w:rFonts w:asciiTheme="majorHAnsi" w:hAnsiTheme="majorHAnsi" w:cstheme="majorHAnsi"/>
          <w:snapToGrid w:val="0"/>
          <w:sz w:val="28"/>
          <w:szCs w:val="28"/>
          <w:lang w:val="sv-SE"/>
        </w:rPr>
      </w:pPr>
      <w:r w:rsidRPr="00572227">
        <w:rPr>
          <w:rFonts w:asciiTheme="majorHAnsi" w:hAnsiTheme="majorHAnsi" w:cstheme="majorHAnsi"/>
          <w:snapToGrid w:val="0"/>
          <w:sz w:val="28"/>
          <w:szCs w:val="28"/>
          <w:lang w:val="sv-SE"/>
        </w:rPr>
        <w:t>- Trích 70% trên mức chi phí chi trả bình quân toàn ngành để chi cho tổ chức làm đại lý chi trả</w:t>
      </w:r>
      <w:r w:rsidR="00FE5698">
        <w:rPr>
          <w:rFonts w:asciiTheme="majorHAnsi" w:hAnsiTheme="majorHAnsi" w:cstheme="majorHAnsi"/>
          <w:snapToGrid w:val="0"/>
          <w:sz w:val="28"/>
          <w:szCs w:val="28"/>
          <w:lang w:val="sv-SE"/>
        </w:rPr>
        <w:t>;</w:t>
      </w:r>
      <w:r w:rsidRPr="00572227">
        <w:rPr>
          <w:rFonts w:asciiTheme="majorHAnsi" w:hAnsiTheme="majorHAnsi" w:cstheme="majorHAnsi"/>
          <w:snapToGrid w:val="0"/>
          <w:sz w:val="28"/>
          <w:szCs w:val="28"/>
          <w:lang w:val="sv-SE"/>
        </w:rPr>
        <w:t xml:space="preserve"> </w:t>
      </w:r>
    </w:p>
    <w:p w:rsidR="002E3EAF" w:rsidRPr="00572227" w:rsidRDefault="002E3EAF" w:rsidP="00C3239C">
      <w:pPr>
        <w:pStyle w:val="list0020paragraph"/>
        <w:spacing w:before="80" w:beforeAutospacing="0" w:after="0" w:afterAutospacing="0"/>
        <w:ind w:firstLine="720"/>
        <w:jc w:val="both"/>
        <w:rPr>
          <w:rFonts w:asciiTheme="majorHAnsi" w:hAnsiTheme="majorHAnsi" w:cstheme="majorHAnsi"/>
          <w:snapToGrid w:val="0"/>
          <w:sz w:val="28"/>
          <w:szCs w:val="28"/>
          <w:lang w:val="sv-SE"/>
        </w:rPr>
      </w:pPr>
      <w:r w:rsidRPr="00572227">
        <w:rPr>
          <w:rFonts w:asciiTheme="majorHAnsi" w:hAnsiTheme="majorHAnsi" w:cstheme="majorHAnsi"/>
          <w:snapToGrid w:val="0"/>
          <w:sz w:val="28"/>
          <w:szCs w:val="28"/>
          <w:lang w:val="sv-SE"/>
        </w:rPr>
        <w:lastRenderedPageBreak/>
        <w:t>+ Tổng Giám đốc BHXH Việt Nam quyết định mức chi phí chi trả (theo tỷ lệ % hoặc theo số tuyệt đối) trên số tiền chi trả cho tổ chức làm đại lý chi trả của từng tỉnh, thành phố để BHXH cấp tỉnh thanh toán cho tổ chức làm đại lý chi trả</w:t>
      </w:r>
      <w:r w:rsidR="00EB1217">
        <w:rPr>
          <w:rFonts w:asciiTheme="majorHAnsi" w:hAnsiTheme="majorHAnsi" w:cstheme="majorHAnsi"/>
          <w:snapToGrid w:val="0"/>
          <w:sz w:val="28"/>
          <w:szCs w:val="28"/>
          <w:lang w:val="sv-SE"/>
        </w:rPr>
        <w:t>;</w:t>
      </w:r>
    </w:p>
    <w:p w:rsidR="002E3EAF" w:rsidRPr="00572227" w:rsidRDefault="002E3EAF" w:rsidP="00C3239C">
      <w:pPr>
        <w:pStyle w:val="list0020paragraph"/>
        <w:spacing w:before="80" w:beforeAutospacing="0" w:after="0" w:afterAutospacing="0"/>
        <w:ind w:firstLine="720"/>
        <w:jc w:val="both"/>
        <w:rPr>
          <w:rFonts w:asciiTheme="majorHAnsi" w:hAnsiTheme="majorHAnsi" w:cstheme="majorHAnsi"/>
          <w:snapToGrid w:val="0"/>
          <w:sz w:val="28"/>
          <w:szCs w:val="28"/>
          <w:lang w:val="sv-SE"/>
        </w:rPr>
      </w:pPr>
      <w:r w:rsidRPr="00572227">
        <w:rPr>
          <w:rFonts w:asciiTheme="majorHAnsi" w:hAnsiTheme="majorHAnsi" w:cstheme="majorHAnsi"/>
          <w:snapToGrid w:val="0"/>
          <w:sz w:val="28"/>
          <w:szCs w:val="28"/>
          <w:lang w:val="sv-SE"/>
        </w:rPr>
        <w:t>+ Tổ chức làm đại lý chi trả tự quyết định và chịu trách nhiệm về việc sử dụng chi phí cho việc chi trả do cơ quan BHXH thanh toán nhưng phải đảm bảo việc chi trả an toàn, đúng đối tượng, đúng chính sách và theo hợp đồng đã ký giữa cơ quan BHXH và tổ chức làm đại lý chi trả</w:t>
      </w:r>
      <w:r w:rsidR="00EB1217">
        <w:rPr>
          <w:rFonts w:asciiTheme="majorHAnsi" w:hAnsiTheme="majorHAnsi" w:cstheme="majorHAnsi"/>
          <w:snapToGrid w:val="0"/>
          <w:sz w:val="28"/>
          <w:szCs w:val="28"/>
          <w:lang w:val="sv-SE"/>
        </w:rPr>
        <w:t>;</w:t>
      </w:r>
    </w:p>
    <w:p w:rsidR="002E3EAF" w:rsidRPr="009A3F8A" w:rsidRDefault="002E3EAF" w:rsidP="00C3239C">
      <w:pPr>
        <w:pStyle w:val="list0020paragraph"/>
        <w:spacing w:before="80" w:beforeAutospacing="0" w:after="0" w:afterAutospacing="0"/>
        <w:ind w:firstLine="720"/>
        <w:jc w:val="both"/>
        <w:rPr>
          <w:rFonts w:asciiTheme="majorHAnsi" w:hAnsiTheme="majorHAnsi" w:cstheme="majorHAnsi"/>
          <w:snapToGrid w:val="0"/>
          <w:sz w:val="28"/>
          <w:szCs w:val="28"/>
          <w:lang w:val="sv-SE"/>
        </w:rPr>
      </w:pPr>
      <w:r w:rsidRPr="00572227">
        <w:rPr>
          <w:rFonts w:asciiTheme="majorHAnsi" w:hAnsiTheme="majorHAnsi" w:cstheme="majorHAnsi"/>
          <w:snapToGrid w:val="0"/>
          <w:sz w:val="28"/>
          <w:szCs w:val="28"/>
          <w:lang w:val="sv-SE"/>
        </w:rPr>
        <w:t xml:space="preserve">+ Cơ quan BHXH phải quy định cụ thể các công việc tổ chức làm đại lý chi trả </w:t>
      </w:r>
      <w:r w:rsidRPr="009A3F8A">
        <w:rPr>
          <w:rFonts w:asciiTheme="majorHAnsi" w:hAnsiTheme="majorHAnsi" w:cstheme="majorHAnsi"/>
          <w:snapToGrid w:val="0"/>
          <w:sz w:val="28"/>
          <w:szCs w:val="28"/>
          <w:lang w:val="sv-SE"/>
        </w:rPr>
        <w:t>phải thực hiện trong hợp đồng ký với tổ chức làm đại lý chi trả</w:t>
      </w:r>
      <w:r w:rsidR="00EB1217">
        <w:rPr>
          <w:rFonts w:asciiTheme="majorHAnsi" w:hAnsiTheme="majorHAnsi" w:cstheme="majorHAnsi"/>
          <w:snapToGrid w:val="0"/>
          <w:sz w:val="28"/>
          <w:szCs w:val="28"/>
          <w:lang w:val="sv-SE"/>
        </w:rPr>
        <w:t>;</w:t>
      </w:r>
    </w:p>
    <w:p w:rsidR="002E3EAF" w:rsidRPr="009A3F8A" w:rsidRDefault="002E3EAF" w:rsidP="00C3239C">
      <w:pPr>
        <w:shd w:val="clear" w:color="auto" w:fill="FFFFFF"/>
        <w:spacing w:before="80" w:after="0" w:line="240" w:lineRule="auto"/>
        <w:ind w:firstLine="720"/>
        <w:jc w:val="both"/>
        <w:rPr>
          <w:rFonts w:asciiTheme="majorHAnsi" w:hAnsiTheme="majorHAnsi" w:cstheme="majorHAnsi"/>
          <w:sz w:val="28"/>
          <w:szCs w:val="28"/>
          <w:lang w:val="sv-SE" w:eastAsia="vi-VN"/>
        </w:rPr>
      </w:pPr>
      <w:r w:rsidRPr="009A3F8A">
        <w:rPr>
          <w:rFonts w:asciiTheme="majorHAnsi" w:hAnsiTheme="majorHAnsi" w:cstheme="majorHAnsi"/>
          <w:snapToGrid w:val="0"/>
          <w:sz w:val="28"/>
          <w:szCs w:val="28"/>
          <w:lang w:val="sv-SE"/>
        </w:rPr>
        <w:t xml:space="preserve">- Còn lại 30% trên mức chi phí chi trả bình quân toàn ngành để lại cho ngành BHXH sử dụng để phục vụ việc chi trả </w:t>
      </w:r>
      <w:r w:rsidRPr="009A3F8A">
        <w:rPr>
          <w:rFonts w:asciiTheme="majorHAnsi" w:hAnsiTheme="majorHAnsi" w:cstheme="majorHAnsi"/>
          <w:sz w:val="28"/>
          <w:szCs w:val="28"/>
          <w:lang w:val="sv-SE" w:eastAsia="vi-VN"/>
        </w:rPr>
        <w:t>(gồm: bảo quản, lưu trữ hồ sơ người thụ hưởng; kiểm tra, giám sát việc chi trả; làm đêm, thêm giờ; hỗ trợ công chức, viên chức và người lao động có liên quan trong những ngày chi trả). BHXH Việt Nam phân bổ cho BHXH các tỉnh, thành phố và đơn vị có liên quan để tổ chức thực hiện</w:t>
      </w:r>
      <w:r w:rsidR="00BE3C6E">
        <w:rPr>
          <w:rFonts w:asciiTheme="majorHAnsi" w:hAnsiTheme="majorHAnsi" w:cstheme="majorHAnsi"/>
          <w:sz w:val="28"/>
          <w:szCs w:val="28"/>
          <w:lang w:val="sv-SE" w:eastAsia="vi-VN"/>
        </w:rPr>
        <w:t>;</w:t>
      </w:r>
    </w:p>
    <w:p w:rsidR="002E3EAF" w:rsidRPr="002E3EAF" w:rsidRDefault="002E3EAF" w:rsidP="00C3239C">
      <w:pPr>
        <w:spacing w:before="80" w:after="0" w:line="240" w:lineRule="auto"/>
        <w:ind w:firstLine="720"/>
        <w:jc w:val="both"/>
        <w:rPr>
          <w:rFonts w:asciiTheme="majorHAnsi" w:hAnsiTheme="majorHAnsi" w:cstheme="majorHAnsi"/>
          <w:spacing w:val="-2"/>
          <w:sz w:val="28"/>
          <w:szCs w:val="28"/>
          <w:lang w:val="sv-SE"/>
        </w:rPr>
      </w:pPr>
      <w:r w:rsidRPr="002E3EAF">
        <w:rPr>
          <w:rFonts w:asciiTheme="majorHAnsi" w:hAnsiTheme="majorHAnsi" w:cstheme="majorHAnsi"/>
          <w:sz w:val="28"/>
          <w:szCs w:val="28"/>
          <w:lang w:val="sv-SE"/>
        </w:rPr>
        <w:t>b) C</w:t>
      </w:r>
      <w:r w:rsidRPr="002E3EAF">
        <w:rPr>
          <w:rFonts w:asciiTheme="majorHAnsi" w:eastAsia=".VnTime" w:hAnsiTheme="majorHAnsi" w:cstheme="majorHAnsi"/>
          <w:sz w:val="28"/>
          <w:szCs w:val="28"/>
          <w:lang w:val="sv-SE"/>
        </w:rPr>
        <w:t>ơ quan BHXH c</w:t>
      </w:r>
      <w:r w:rsidRPr="002E3EAF">
        <w:rPr>
          <w:rFonts w:asciiTheme="majorHAnsi" w:hAnsiTheme="majorHAnsi" w:cstheme="majorHAnsi"/>
          <w:sz w:val="28"/>
          <w:szCs w:val="28"/>
          <w:lang w:val="sv-SE"/>
        </w:rPr>
        <w:t xml:space="preserve">ăn cứ số tiền mà tổ chức làm đại lý chi trả cho người thụ hưởng, thực hiện </w:t>
      </w:r>
      <w:r w:rsidRPr="002E3EAF">
        <w:rPr>
          <w:rFonts w:asciiTheme="majorHAnsi" w:eastAsia=".VnTime" w:hAnsiTheme="majorHAnsi" w:cstheme="majorHAnsi"/>
          <w:sz w:val="28"/>
          <w:szCs w:val="28"/>
          <w:lang w:val="sv-SE"/>
        </w:rPr>
        <w:t xml:space="preserve">chuyển chi phí chi trả vào tài khoản của tổ chức làm đại lý </w:t>
      </w:r>
      <w:r w:rsidRPr="002E3EAF">
        <w:rPr>
          <w:rFonts w:asciiTheme="majorHAnsi" w:hAnsiTheme="majorHAnsi" w:cstheme="majorHAnsi"/>
          <w:sz w:val="28"/>
          <w:szCs w:val="28"/>
          <w:lang w:val="sv-SE"/>
        </w:rPr>
        <w:t xml:space="preserve">(không </w:t>
      </w:r>
      <w:r w:rsidRPr="00A73FC6">
        <w:rPr>
          <w:rFonts w:asciiTheme="majorHAnsi" w:hAnsiTheme="majorHAnsi" w:cstheme="majorHAnsi"/>
          <w:spacing w:val="-4"/>
          <w:sz w:val="28"/>
          <w:szCs w:val="28"/>
          <w:lang w:val="sv-SE"/>
        </w:rPr>
        <w:t>thanh toán bằng tiền mặt); số tiền chuyển tương ứng mức chi phí chi trả theo tỷ lệ %</w:t>
      </w:r>
      <w:r w:rsidRPr="002E3EAF">
        <w:rPr>
          <w:rFonts w:asciiTheme="majorHAnsi" w:hAnsiTheme="majorHAnsi" w:cstheme="majorHAnsi"/>
          <w:sz w:val="28"/>
          <w:szCs w:val="28"/>
          <w:lang w:val="sv-SE"/>
        </w:rPr>
        <w:t xml:space="preserve"> trên số tiền chi trả do Tổng Giám đốc BHXH Việt Nam quy định</w:t>
      </w:r>
      <w:r w:rsidRPr="002E3EAF">
        <w:rPr>
          <w:rFonts w:asciiTheme="majorHAnsi" w:hAnsiTheme="majorHAnsi" w:cstheme="majorHAnsi"/>
          <w:noProof/>
          <w:sz w:val="28"/>
          <w:szCs w:val="28"/>
          <w:lang w:val="sv-SE"/>
        </w:rPr>
        <w:t>.”</w:t>
      </w:r>
    </w:p>
    <w:p w:rsidR="002E3EAF" w:rsidRPr="001773AE" w:rsidRDefault="002E3EAF" w:rsidP="00C3239C">
      <w:pPr>
        <w:pStyle w:val="list0020paragraph"/>
        <w:spacing w:before="80" w:beforeAutospacing="0" w:after="0" w:afterAutospacing="0"/>
        <w:ind w:firstLine="720"/>
        <w:jc w:val="both"/>
        <w:rPr>
          <w:rFonts w:asciiTheme="majorHAnsi" w:hAnsiTheme="majorHAnsi" w:cstheme="majorHAnsi"/>
          <w:snapToGrid w:val="0"/>
          <w:sz w:val="28"/>
          <w:szCs w:val="28"/>
          <w:lang w:val="sv-SE"/>
        </w:rPr>
      </w:pPr>
      <w:r w:rsidRPr="001773AE">
        <w:rPr>
          <w:rFonts w:asciiTheme="majorHAnsi" w:hAnsiTheme="majorHAnsi" w:cstheme="majorHAnsi"/>
          <w:snapToGrid w:val="0"/>
          <w:sz w:val="28"/>
          <w:szCs w:val="28"/>
          <w:lang w:val="sv-SE"/>
        </w:rPr>
        <w:t>7. Sửa đổi Điểm a, b và c Khoản 1 Điều 9 như sau:</w:t>
      </w:r>
    </w:p>
    <w:p w:rsidR="002E3EAF" w:rsidRPr="001773AE" w:rsidRDefault="002E3EAF" w:rsidP="00C3239C">
      <w:pPr>
        <w:pStyle w:val="list0020paragraph"/>
        <w:spacing w:before="80" w:beforeAutospacing="0" w:after="0" w:afterAutospacing="0"/>
        <w:ind w:firstLine="720"/>
        <w:jc w:val="both"/>
        <w:rPr>
          <w:rFonts w:asciiTheme="majorHAnsi" w:hAnsiTheme="majorHAnsi" w:cstheme="majorHAnsi"/>
          <w:sz w:val="28"/>
          <w:szCs w:val="28"/>
          <w:lang w:val="sv-SE"/>
        </w:rPr>
      </w:pPr>
      <w:r w:rsidRPr="001773AE">
        <w:rPr>
          <w:rFonts w:asciiTheme="majorHAnsi" w:hAnsiTheme="majorHAnsi" w:cstheme="majorHAnsi"/>
          <w:sz w:val="28"/>
          <w:szCs w:val="28"/>
          <w:lang w:val="sv-SE"/>
        </w:rPr>
        <w:t>“a) Chi tuyên truyền, phổ biến chính sách, pháp luật về BHXH, bảo hiểm y tế, bảo hiểm thất nghiệp; tập huấn, bồi dưỡng chuyên môn, nghiệp vụ; cải cách thủ tục hành chính; quản lý người tham gia, người thụ hưởng BHXH, bảo hiểm y tế, bảo hiểm thất nghiệp; chi công tác thanh tra, kiểm tra, giám sát và chi hiện đại hóa hệ thống quản lý: Thực hiện theo các nội dung chi có liên quan quy định tại các Khoản 1, Khoản 2, Khoản 3, Khoản 4, Điểm b, c Khoản 6, Khoản 8 và Khoản 11 Điều 9 Quyết định số 60/2015/QĐ-TTg, Điểm a và c Khoản 9 Điều 1 Quyết định số 38/2019/QĐ-TTg</w:t>
      </w:r>
      <w:r w:rsidR="000C744F">
        <w:rPr>
          <w:rFonts w:asciiTheme="majorHAnsi" w:hAnsiTheme="majorHAnsi" w:cstheme="majorHAnsi"/>
          <w:sz w:val="28"/>
          <w:szCs w:val="28"/>
          <w:lang w:val="sv-SE"/>
        </w:rPr>
        <w:t>;</w:t>
      </w:r>
    </w:p>
    <w:p w:rsidR="002E3EAF" w:rsidRPr="001773AE" w:rsidRDefault="002E3EAF" w:rsidP="00C3239C">
      <w:pPr>
        <w:pStyle w:val="list0020paragraph"/>
        <w:spacing w:before="80" w:beforeAutospacing="0" w:after="0" w:afterAutospacing="0"/>
        <w:ind w:firstLine="720"/>
        <w:jc w:val="both"/>
        <w:rPr>
          <w:rFonts w:asciiTheme="majorHAnsi" w:hAnsiTheme="majorHAnsi" w:cstheme="majorHAnsi"/>
          <w:sz w:val="28"/>
          <w:szCs w:val="28"/>
          <w:lang w:val="sv-SE"/>
        </w:rPr>
      </w:pPr>
      <w:r w:rsidRPr="001773AE">
        <w:rPr>
          <w:rFonts w:asciiTheme="majorHAnsi" w:hAnsiTheme="majorHAnsi" w:cstheme="majorHAnsi"/>
          <w:sz w:val="28"/>
          <w:szCs w:val="28"/>
          <w:lang w:val="sv-SE"/>
        </w:rPr>
        <w:t>b) Chi phục vụ công tác thu BHXH tự nguyện; thu bảo hiểm y tế của học sinh, sinh viên hệ dân sự đang theo học tại cơ sở giáo dục do Bộ Quốc phòng, Bộ Công an quản lý: Mức chi tối đa bằng 7,5% số tiền đóng của người tham gia (không bao gồm số thu do ngân sách nhà nước, tổ chức, cá nhân hỗ trợ), trong đó: mức chi thù lao bình quân cho tổ chức làm đại lý thu bảo hiểm xã hội tự nguyện tối đa bằng 14% số tiền đóng của người tham gia BHXH tự nguyện; mức chi thù lao bình quân cho cơ sở giáo dục tối đa bằng 2,5% số tiền đóng của học sinh, sinh viên; mức chi thù lao bình quân đại lý thu bảo hiểm y tế của các đối tượng còn lại tối đa bằng 7,0% số tiền đóng bảo hiểm y tế của người tham gia</w:t>
      </w:r>
      <w:r w:rsidR="000C744F">
        <w:rPr>
          <w:rFonts w:asciiTheme="majorHAnsi" w:hAnsiTheme="majorHAnsi" w:cstheme="majorHAnsi"/>
          <w:sz w:val="28"/>
          <w:szCs w:val="28"/>
          <w:lang w:val="sv-SE"/>
        </w:rPr>
        <w:t>;</w:t>
      </w:r>
    </w:p>
    <w:p w:rsidR="002E3EAF" w:rsidRPr="001773AE" w:rsidRDefault="002E3EAF" w:rsidP="00C3239C">
      <w:pPr>
        <w:spacing w:before="80" w:after="0" w:line="240" w:lineRule="auto"/>
        <w:ind w:firstLine="720"/>
        <w:jc w:val="both"/>
        <w:rPr>
          <w:rFonts w:asciiTheme="majorHAnsi" w:hAnsiTheme="majorHAnsi" w:cstheme="majorHAnsi"/>
          <w:sz w:val="28"/>
          <w:szCs w:val="28"/>
          <w:lang w:val="sv-SE"/>
        </w:rPr>
      </w:pPr>
      <w:r w:rsidRPr="001773AE">
        <w:rPr>
          <w:rFonts w:asciiTheme="majorHAnsi" w:hAnsiTheme="majorHAnsi" w:cstheme="majorHAnsi"/>
          <w:sz w:val="28"/>
          <w:szCs w:val="28"/>
          <w:lang w:val="sv-SE"/>
        </w:rPr>
        <w:t xml:space="preserve">c) Chi phí chi trả các chế độ bảo hiểm xã hội bằng 0,65% số tiền chi trả các chế độ BHXH (trừ các khoản chi: phí khám giám định; dưỡng sức, phục hồi sức khỏe; hỗ trợ phòng ngừa, chia sẻ rủi ro về tai nạn lao động, bệnh nghề nghiệp; hỗ </w:t>
      </w:r>
      <w:r w:rsidRPr="001773AE">
        <w:rPr>
          <w:rFonts w:asciiTheme="majorHAnsi" w:hAnsiTheme="majorHAnsi" w:cstheme="majorHAnsi"/>
          <w:sz w:val="28"/>
          <w:szCs w:val="28"/>
          <w:lang w:val="sv-SE"/>
        </w:rPr>
        <w:lastRenderedPageBreak/>
        <w:t xml:space="preserve">trợ chuyển đổi nghề nghiệp cho người bị tai nạn lao động, bệnh nghề nghiệp khi trở lại làm việc; đóng bảo hiểm y tế); trong đó mức chi cho tổ chức làm đại lý chi trả bằng 70% </w:t>
      </w:r>
      <w:r w:rsidR="00B706AD" w:rsidRPr="001773AE">
        <w:rPr>
          <w:rFonts w:asciiTheme="majorHAnsi" w:hAnsiTheme="majorHAnsi" w:cstheme="majorHAnsi"/>
          <w:color w:val="000000" w:themeColor="text1"/>
          <w:sz w:val="28"/>
          <w:szCs w:val="28"/>
          <w:lang w:val="sv-SE"/>
        </w:rPr>
        <w:t>tổng số chi phí chi trả.</w:t>
      </w:r>
      <w:r w:rsidR="001773AE">
        <w:rPr>
          <w:rFonts w:asciiTheme="majorHAnsi" w:hAnsiTheme="majorHAnsi" w:cstheme="majorHAnsi"/>
          <w:color w:val="000000" w:themeColor="text1"/>
          <w:sz w:val="28"/>
          <w:szCs w:val="28"/>
          <w:lang w:val="sv-SE"/>
        </w:rPr>
        <w:t>”</w:t>
      </w:r>
    </w:p>
    <w:p w:rsidR="002E3EAF" w:rsidRPr="00D40B26" w:rsidRDefault="002E3EAF" w:rsidP="00C3239C">
      <w:pPr>
        <w:pStyle w:val="list0020paragraph"/>
        <w:spacing w:before="80" w:beforeAutospacing="0" w:after="0" w:afterAutospacing="0"/>
        <w:ind w:firstLine="720"/>
        <w:jc w:val="both"/>
        <w:rPr>
          <w:rFonts w:asciiTheme="majorHAnsi" w:hAnsiTheme="majorHAnsi" w:cstheme="majorHAnsi"/>
          <w:sz w:val="28"/>
          <w:szCs w:val="28"/>
          <w:lang w:val="sv-SE"/>
        </w:rPr>
      </w:pPr>
      <w:r w:rsidRPr="00D40B26">
        <w:rPr>
          <w:rFonts w:asciiTheme="majorHAnsi" w:hAnsiTheme="majorHAnsi" w:cstheme="majorHAnsi"/>
          <w:sz w:val="28"/>
          <w:szCs w:val="28"/>
          <w:lang w:val="sv-SE"/>
        </w:rPr>
        <w:t>8. Sửa đổi tiêu đề Khoản 2 Điều 9 như sau:</w:t>
      </w:r>
    </w:p>
    <w:p w:rsidR="002E3EAF" w:rsidRPr="00D40B26" w:rsidRDefault="002E3EAF" w:rsidP="00C3239C">
      <w:pPr>
        <w:spacing w:before="80" w:after="0" w:line="240" w:lineRule="auto"/>
        <w:ind w:firstLine="720"/>
        <w:jc w:val="both"/>
        <w:rPr>
          <w:rFonts w:asciiTheme="majorHAnsi" w:hAnsiTheme="majorHAnsi" w:cstheme="majorHAnsi"/>
          <w:sz w:val="28"/>
          <w:szCs w:val="28"/>
          <w:lang w:val="sv-SE"/>
        </w:rPr>
      </w:pPr>
      <w:r w:rsidRPr="00D40B26">
        <w:rPr>
          <w:rFonts w:asciiTheme="majorHAnsi" w:hAnsiTheme="majorHAnsi" w:cstheme="majorHAnsi"/>
          <w:sz w:val="28"/>
          <w:szCs w:val="28"/>
          <w:lang w:val="sv-SE"/>
        </w:rPr>
        <w:t>“2. Trong phạm vi nguồn chi phí quản lý được sử dụng, đơn vị thực hiện các biện pháp tiết kiệm kinh phí, số kinh phí tiết kiệm được sử dụng theo quy định tại Điều 10 Quyết định số 60/2015/QĐ-TTg và Khoản 10 Điều 1 Quyết định số 38/2019/QĐ-TTg. Riêng việc trích lập quỹ bổ sung thu nhập và quỹ khen thưởng, phúc lợi thực hiện như sau:”</w:t>
      </w:r>
    </w:p>
    <w:p w:rsidR="002E3EAF" w:rsidRPr="00D40B26" w:rsidRDefault="002E3EAF" w:rsidP="00C3239C">
      <w:pPr>
        <w:pStyle w:val="list0020paragraph"/>
        <w:spacing w:before="80" w:beforeAutospacing="0" w:after="0" w:afterAutospacing="0"/>
        <w:ind w:firstLine="720"/>
        <w:jc w:val="both"/>
        <w:rPr>
          <w:rFonts w:asciiTheme="majorHAnsi" w:hAnsiTheme="majorHAnsi" w:cstheme="majorHAnsi"/>
          <w:sz w:val="28"/>
          <w:szCs w:val="28"/>
          <w:lang w:val="sv-SE"/>
        </w:rPr>
      </w:pPr>
      <w:r w:rsidRPr="00D40B26">
        <w:rPr>
          <w:rFonts w:asciiTheme="majorHAnsi" w:hAnsiTheme="majorHAnsi" w:cstheme="majorHAnsi"/>
          <w:sz w:val="28"/>
          <w:szCs w:val="28"/>
          <w:lang w:val="sv-SE"/>
        </w:rPr>
        <w:t>9. Sửa đổi Khoản 3 Điều 10 như sau:</w:t>
      </w:r>
    </w:p>
    <w:p w:rsidR="002E3EAF" w:rsidRPr="00D40B26" w:rsidRDefault="002E3EAF" w:rsidP="00C3239C">
      <w:pPr>
        <w:tabs>
          <w:tab w:val="left" w:pos="709"/>
        </w:tabs>
        <w:spacing w:before="80" w:after="0" w:line="240" w:lineRule="auto"/>
        <w:jc w:val="both"/>
        <w:rPr>
          <w:rFonts w:asciiTheme="majorHAnsi" w:hAnsiTheme="majorHAnsi" w:cstheme="majorHAnsi"/>
          <w:sz w:val="28"/>
          <w:szCs w:val="28"/>
          <w:lang w:val="sv-SE"/>
        </w:rPr>
      </w:pPr>
      <w:r w:rsidRPr="00D40B26">
        <w:rPr>
          <w:rFonts w:asciiTheme="majorHAnsi" w:hAnsiTheme="majorHAnsi" w:cstheme="majorHAnsi"/>
          <w:sz w:val="28"/>
          <w:szCs w:val="28"/>
          <w:lang w:val="sv-SE"/>
        </w:rPr>
        <w:t xml:space="preserve">         “3. Xử lý số dư kinh phí cuố</w:t>
      </w:r>
      <w:r w:rsidR="0065362C" w:rsidRPr="00D40B26">
        <w:rPr>
          <w:rFonts w:asciiTheme="majorHAnsi" w:hAnsiTheme="majorHAnsi" w:cstheme="majorHAnsi"/>
          <w:sz w:val="28"/>
          <w:szCs w:val="28"/>
          <w:lang w:val="sv-SE"/>
        </w:rPr>
        <w:t>i năm, xét duyệt và tổng hợp</w:t>
      </w:r>
      <w:r w:rsidRPr="00D40B26">
        <w:rPr>
          <w:rFonts w:asciiTheme="majorHAnsi" w:hAnsiTheme="majorHAnsi" w:cstheme="majorHAnsi"/>
          <w:sz w:val="28"/>
          <w:szCs w:val="28"/>
          <w:lang w:val="sv-SE"/>
        </w:rPr>
        <w:t xml:space="preserve"> quyết toán</w:t>
      </w:r>
      <w:r w:rsidR="00D40B26">
        <w:rPr>
          <w:rFonts w:asciiTheme="majorHAnsi" w:hAnsiTheme="majorHAnsi" w:cstheme="majorHAnsi"/>
          <w:sz w:val="28"/>
          <w:szCs w:val="28"/>
          <w:lang w:val="sv-SE"/>
        </w:rPr>
        <w:t>:</w:t>
      </w:r>
    </w:p>
    <w:p w:rsidR="002E3EAF" w:rsidRPr="00D40B26" w:rsidRDefault="002E3EAF" w:rsidP="00C3239C">
      <w:pPr>
        <w:tabs>
          <w:tab w:val="left" w:pos="709"/>
        </w:tabs>
        <w:spacing w:before="80" w:after="0" w:line="240" w:lineRule="auto"/>
        <w:jc w:val="both"/>
        <w:rPr>
          <w:rFonts w:asciiTheme="majorHAnsi" w:hAnsiTheme="majorHAnsi" w:cstheme="majorHAnsi"/>
          <w:sz w:val="28"/>
          <w:szCs w:val="28"/>
          <w:lang w:val="sv-SE"/>
        </w:rPr>
      </w:pPr>
      <w:r w:rsidRPr="00D40B26">
        <w:rPr>
          <w:rFonts w:asciiTheme="majorHAnsi" w:hAnsiTheme="majorHAnsi" w:cstheme="majorHAnsi"/>
          <w:sz w:val="28"/>
          <w:szCs w:val="28"/>
          <w:lang w:val="sv-SE"/>
        </w:rPr>
        <w:tab/>
        <w:t>a) K</w:t>
      </w:r>
      <w:r w:rsidRPr="00D40B26">
        <w:rPr>
          <w:rFonts w:asciiTheme="majorHAnsi" w:hAnsiTheme="majorHAnsi" w:cstheme="majorHAnsi"/>
          <w:spacing w:val="2"/>
          <w:sz w:val="28"/>
          <w:szCs w:val="28"/>
          <w:lang w:val="sv-SE"/>
        </w:rPr>
        <w:t>inh phí bố trí cho các nhiệm vụ trong năm đến cuối năm chưa sử dụng được chuyển nguồn sang năm sau tiếp tục sử dụng</w:t>
      </w:r>
      <w:r w:rsidR="00D40B26">
        <w:rPr>
          <w:rFonts w:asciiTheme="majorHAnsi" w:hAnsiTheme="majorHAnsi" w:cstheme="majorHAnsi"/>
          <w:spacing w:val="2"/>
          <w:sz w:val="28"/>
          <w:szCs w:val="28"/>
          <w:lang w:val="sv-SE"/>
        </w:rPr>
        <w:t>;</w:t>
      </w:r>
    </w:p>
    <w:p w:rsidR="002E3EAF" w:rsidRPr="00D40B26" w:rsidRDefault="002E3EAF" w:rsidP="00C3239C">
      <w:pPr>
        <w:tabs>
          <w:tab w:val="left" w:pos="709"/>
        </w:tabs>
        <w:spacing w:before="80" w:after="0" w:line="240" w:lineRule="auto"/>
        <w:jc w:val="both"/>
        <w:rPr>
          <w:rFonts w:asciiTheme="majorHAnsi" w:hAnsiTheme="majorHAnsi" w:cstheme="majorHAnsi"/>
          <w:sz w:val="28"/>
          <w:szCs w:val="28"/>
          <w:lang w:val="sv-SE"/>
        </w:rPr>
      </w:pPr>
      <w:r w:rsidRPr="00D40B26">
        <w:rPr>
          <w:rFonts w:asciiTheme="majorHAnsi" w:hAnsiTheme="majorHAnsi" w:cstheme="majorHAnsi"/>
          <w:sz w:val="28"/>
          <w:szCs w:val="28"/>
          <w:lang w:val="sv-SE"/>
        </w:rPr>
        <w:tab/>
        <w:t xml:space="preserve">b) </w:t>
      </w:r>
      <w:r w:rsidR="0065362C" w:rsidRPr="00D40B26">
        <w:rPr>
          <w:rFonts w:asciiTheme="majorHAnsi" w:hAnsiTheme="majorHAnsi" w:cstheme="majorHAnsi"/>
          <w:sz w:val="28"/>
          <w:szCs w:val="28"/>
          <w:lang w:val="sv-SE"/>
        </w:rPr>
        <w:t>Xét duyệt và tổng hợp q</w:t>
      </w:r>
      <w:r w:rsidRPr="00D40B26">
        <w:rPr>
          <w:rFonts w:asciiTheme="majorHAnsi" w:hAnsiTheme="majorHAnsi" w:cstheme="majorHAnsi"/>
          <w:sz w:val="28"/>
          <w:szCs w:val="28"/>
          <w:lang w:val="sv-SE"/>
        </w:rPr>
        <w:t xml:space="preserve">uyết toán: Bộ Lao động - Thương binh và Xã hội có trách nhiệm xét duyệt quyết toán và thông báo kết quả xét duyệt quyết toán năm </w:t>
      </w:r>
      <w:r w:rsidR="00DF1B88" w:rsidRPr="00D40B26">
        <w:rPr>
          <w:rFonts w:asciiTheme="majorHAnsi" w:hAnsiTheme="majorHAnsi" w:cstheme="majorHAnsi"/>
          <w:sz w:val="28"/>
          <w:szCs w:val="28"/>
          <w:lang w:val="sv-SE"/>
        </w:rPr>
        <w:t>đối với nguồn kinh</w:t>
      </w:r>
      <w:r w:rsidRPr="00D40B26">
        <w:rPr>
          <w:rFonts w:asciiTheme="majorHAnsi" w:hAnsiTheme="majorHAnsi" w:cstheme="majorHAnsi"/>
          <w:sz w:val="28"/>
          <w:szCs w:val="28"/>
          <w:lang w:val="sv-SE"/>
        </w:rPr>
        <w:t xml:space="preserve"> phí quản lý bảo hiểm thất nghiệp cho các đơn vị theo quy định tại Thông tư số 137/2017/TT-BTC ngày 25</w:t>
      </w:r>
      <w:r w:rsidR="006C5177" w:rsidRPr="00D40B26">
        <w:rPr>
          <w:rFonts w:asciiTheme="majorHAnsi" w:hAnsiTheme="majorHAnsi" w:cstheme="majorHAnsi"/>
          <w:sz w:val="28"/>
          <w:szCs w:val="28"/>
          <w:lang w:val="sv-SE"/>
        </w:rPr>
        <w:t xml:space="preserve"> tháng</w:t>
      </w:r>
      <w:r w:rsidR="00374935" w:rsidRPr="00D40B26">
        <w:rPr>
          <w:rFonts w:asciiTheme="majorHAnsi" w:hAnsiTheme="majorHAnsi" w:cstheme="majorHAnsi"/>
          <w:sz w:val="28"/>
          <w:szCs w:val="28"/>
          <w:lang w:val="sv-SE"/>
        </w:rPr>
        <w:t xml:space="preserve"> </w:t>
      </w:r>
      <w:r w:rsidRPr="00D40B26">
        <w:rPr>
          <w:rFonts w:asciiTheme="majorHAnsi" w:hAnsiTheme="majorHAnsi" w:cstheme="majorHAnsi"/>
          <w:sz w:val="28"/>
          <w:szCs w:val="28"/>
          <w:lang w:val="sv-SE"/>
        </w:rPr>
        <w:t>12</w:t>
      </w:r>
      <w:r w:rsidR="006C5177" w:rsidRPr="00D40B26">
        <w:rPr>
          <w:rFonts w:asciiTheme="majorHAnsi" w:hAnsiTheme="majorHAnsi" w:cstheme="majorHAnsi"/>
          <w:sz w:val="28"/>
          <w:szCs w:val="28"/>
          <w:lang w:val="sv-SE"/>
        </w:rPr>
        <w:t xml:space="preserve"> năm </w:t>
      </w:r>
      <w:r w:rsidRPr="00D40B26">
        <w:rPr>
          <w:rFonts w:asciiTheme="majorHAnsi" w:hAnsiTheme="majorHAnsi" w:cstheme="majorHAnsi"/>
          <w:sz w:val="28"/>
          <w:szCs w:val="28"/>
          <w:lang w:val="sv-SE"/>
        </w:rPr>
        <w:t>2017 của Bộ Tài chính quy định xét duyệt, thẩm định, thông báo và tổng hợp quyết toán năm</w:t>
      </w:r>
      <w:r w:rsidR="00DF1B88" w:rsidRPr="00D40B26">
        <w:rPr>
          <w:rFonts w:asciiTheme="majorHAnsi" w:hAnsiTheme="majorHAnsi" w:cstheme="majorHAnsi"/>
          <w:sz w:val="28"/>
          <w:szCs w:val="28"/>
          <w:lang w:val="sv-SE"/>
        </w:rPr>
        <w:t xml:space="preserve"> (sau đây viết tắt là Thông tư số 137/2017/TT-BTC)</w:t>
      </w:r>
      <w:r w:rsidRPr="00D40B26">
        <w:rPr>
          <w:rFonts w:asciiTheme="majorHAnsi" w:hAnsiTheme="majorHAnsi" w:cstheme="majorHAnsi"/>
          <w:sz w:val="28"/>
          <w:szCs w:val="28"/>
          <w:lang w:val="sv-SE"/>
        </w:rPr>
        <w:t xml:space="preserve">; </w:t>
      </w:r>
      <w:r w:rsidRPr="00D40B26">
        <w:rPr>
          <w:rFonts w:asciiTheme="majorHAnsi" w:hAnsiTheme="majorHAnsi" w:cstheme="majorHAnsi"/>
          <w:sz w:val="28"/>
          <w:szCs w:val="28"/>
          <w:lang w:val="pl-PL"/>
        </w:rPr>
        <w:t xml:space="preserve">tổng hợp và lập báo cáo quyết toán năm </w:t>
      </w:r>
      <w:r w:rsidR="00DF1B88" w:rsidRPr="00D40B26">
        <w:rPr>
          <w:rFonts w:asciiTheme="majorHAnsi" w:hAnsiTheme="majorHAnsi" w:cstheme="majorHAnsi"/>
          <w:sz w:val="28"/>
          <w:szCs w:val="28"/>
          <w:lang w:val="sv-SE"/>
        </w:rPr>
        <w:t xml:space="preserve">nguồn kinh phí </w:t>
      </w:r>
      <w:r w:rsidRPr="00D40B26">
        <w:rPr>
          <w:rFonts w:asciiTheme="majorHAnsi" w:hAnsiTheme="majorHAnsi" w:cstheme="majorHAnsi"/>
          <w:sz w:val="28"/>
          <w:szCs w:val="28"/>
          <w:lang w:val="sv-SE"/>
        </w:rPr>
        <w:t>quản lý bảo hiểm thất nghiệp</w:t>
      </w:r>
      <w:r w:rsidRPr="00D40B26">
        <w:rPr>
          <w:rFonts w:asciiTheme="majorHAnsi" w:hAnsiTheme="majorHAnsi" w:cstheme="majorHAnsi"/>
          <w:sz w:val="28"/>
          <w:szCs w:val="28"/>
          <w:lang w:val="pl-PL"/>
        </w:rPr>
        <w:t xml:space="preserve"> của Cục Việc làm và </w:t>
      </w:r>
      <w:r w:rsidRPr="00D40B26">
        <w:rPr>
          <w:rFonts w:asciiTheme="majorHAnsi" w:hAnsiTheme="majorHAnsi" w:cstheme="majorHAnsi"/>
          <w:sz w:val="28"/>
          <w:szCs w:val="28"/>
          <w:lang w:val="sv-SE"/>
        </w:rPr>
        <w:t>các Trung tâm dịch vụ việc làm thuộc Sở Lao động</w:t>
      </w:r>
      <w:r w:rsidR="003769C3">
        <w:rPr>
          <w:rFonts w:asciiTheme="majorHAnsi" w:hAnsiTheme="majorHAnsi" w:cstheme="majorHAnsi"/>
          <w:sz w:val="28"/>
          <w:szCs w:val="28"/>
          <w:lang w:val="sv-SE"/>
        </w:rPr>
        <w:t xml:space="preserve"> </w:t>
      </w:r>
      <w:r w:rsidRPr="00D40B26">
        <w:rPr>
          <w:rFonts w:asciiTheme="majorHAnsi" w:hAnsiTheme="majorHAnsi" w:cstheme="majorHAnsi"/>
          <w:sz w:val="28"/>
          <w:szCs w:val="28"/>
          <w:lang w:val="sv-SE"/>
        </w:rPr>
        <w:t>-</w:t>
      </w:r>
      <w:r w:rsidR="003769C3">
        <w:rPr>
          <w:rFonts w:asciiTheme="majorHAnsi" w:hAnsiTheme="majorHAnsi" w:cstheme="majorHAnsi"/>
          <w:sz w:val="28"/>
          <w:szCs w:val="28"/>
          <w:lang w:val="sv-SE"/>
        </w:rPr>
        <w:t xml:space="preserve"> </w:t>
      </w:r>
      <w:r w:rsidRPr="00D40B26">
        <w:rPr>
          <w:rFonts w:asciiTheme="majorHAnsi" w:hAnsiTheme="majorHAnsi" w:cstheme="majorHAnsi"/>
          <w:sz w:val="28"/>
          <w:szCs w:val="28"/>
          <w:lang w:val="sv-SE"/>
        </w:rPr>
        <w:t>Thương binh và Xã hội</w:t>
      </w:r>
      <w:r w:rsidRPr="00D40B26">
        <w:rPr>
          <w:rFonts w:asciiTheme="majorHAnsi" w:hAnsiTheme="majorHAnsi" w:cstheme="majorHAnsi"/>
          <w:sz w:val="28"/>
          <w:szCs w:val="28"/>
          <w:lang w:val="pl-PL"/>
        </w:rPr>
        <w:t xml:space="preserve"> đã được xét duyệt</w:t>
      </w:r>
      <w:r w:rsidR="0065362C" w:rsidRPr="00D40B26">
        <w:rPr>
          <w:rFonts w:asciiTheme="majorHAnsi" w:hAnsiTheme="majorHAnsi" w:cstheme="majorHAnsi"/>
          <w:sz w:val="28"/>
          <w:szCs w:val="28"/>
          <w:lang w:val="pl-PL"/>
        </w:rPr>
        <w:t xml:space="preserve"> </w:t>
      </w:r>
      <w:r w:rsidR="00CA0672" w:rsidRPr="00D40B26">
        <w:rPr>
          <w:rFonts w:asciiTheme="majorHAnsi" w:hAnsiTheme="majorHAnsi" w:cstheme="majorHAnsi"/>
          <w:sz w:val="28"/>
          <w:szCs w:val="28"/>
          <w:lang w:val="pl-PL"/>
        </w:rPr>
        <w:t>vào</w:t>
      </w:r>
      <w:r w:rsidR="00CA0672" w:rsidRPr="00D40B26">
        <w:rPr>
          <w:rFonts w:ascii="Times New Roman" w:hAnsi="Times New Roman"/>
          <w:color w:val="000000"/>
          <w:sz w:val="28"/>
          <w:szCs w:val="28"/>
          <w:lang w:val="sv-SE"/>
        </w:rPr>
        <w:t xml:space="preserve"> </w:t>
      </w:r>
      <w:r w:rsidR="00CA0672" w:rsidRPr="00D40B26">
        <w:rPr>
          <w:rFonts w:asciiTheme="majorHAnsi" w:hAnsiTheme="majorHAnsi" w:cstheme="majorHAnsi"/>
          <w:sz w:val="28"/>
          <w:szCs w:val="28"/>
          <w:lang w:val="pl-PL"/>
        </w:rPr>
        <w:t>nguồn hoạt động khác được để lại</w:t>
      </w:r>
      <w:r w:rsidR="00CA0672" w:rsidRPr="00D40B26">
        <w:rPr>
          <w:rFonts w:ascii="Times New Roman" w:hAnsi="Times New Roman"/>
          <w:color w:val="000000"/>
          <w:sz w:val="28"/>
          <w:szCs w:val="28"/>
        </w:rPr>
        <w:t xml:space="preserve"> </w:t>
      </w:r>
      <w:r w:rsidR="0065362C" w:rsidRPr="00D40B26">
        <w:rPr>
          <w:rFonts w:asciiTheme="majorHAnsi" w:hAnsiTheme="majorHAnsi" w:cstheme="majorHAnsi"/>
          <w:sz w:val="28"/>
          <w:szCs w:val="28"/>
          <w:lang w:val="pl-PL"/>
        </w:rPr>
        <w:t>(</w:t>
      </w:r>
      <w:r w:rsidR="0065362C" w:rsidRPr="00D40B26">
        <w:rPr>
          <w:rFonts w:ascii="Times New Roman" w:hAnsi="Times New Roman"/>
          <w:color w:val="000000"/>
          <w:sz w:val="28"/>
          <w:szCs w:val="28"/>
        </w:rPr>
        <w:t xml:space="preserve">mẫu biểu </w:t>
      </w:r>
      <w:r w:rsidR="0065362C" w:rsidRPr="00D40B26">
        <w:rPr>
          <w:rFonts w:ascii="Times New Roman" w:hAnsi="Times New Roman"/>
          <w:color w:val="000000"/>
          <w:sz w:val="28"/>
          <w:szCs w:val="28"/>
          <w:lang w:val="sv-SE"/>
        </w:rPr>
        <w:t xml:space="preserve">thực hiện theo phần C Biểu </w:t>
      </w:r>
      <w:r w:rsidR="00CA0672" w:rsidRPr="00D40B26">
        <w:rPr>
          <w:rFonts w:ascii="Times New Roman" w:hAnsi="Times New Roman"/>
          <w:color w:val="000000"/>
          <w:sz w:val="28"/>
          <w:szCs w:val="28"/>
          <w:lang w:val="sv-SE"/>
        </w:rPr>
        <w:t xml:space="preserve">số </w:t>
      </w:r>
      <w:r w:rsidR="0065362C" w:rsidRPr="00D40B26">
        <w:rPr>
          <w:rFonts w:ascii="Times New Roman" w:hAnsi="Times New Roman"/>
          <w:color w:val="000000"/>
          <w:sz w:val="28"/>
          <w:szCs w:val="28"/>
        </w:rPr>
        <w:t>B01/BCQT</w:t>
      </w:r>
      <w:r w:rsidR="00DF1B88" w:rsidRPr="00D40B26">
        <w:rPr>
          <w:rFonts w:ascii="Times New Roman" w:hAnsi="Times New Roman"/>
          <w:color w:val="000000"/>
          <w:sz w:val="28"/>
          <w:szCs w:val="28"/>
          <w:lang w:val="sv-SE"/>
        </w:rPr>
        <w:t>,</w:t>
      </w:r>
      <w:r w:rsidR="0065362C" w:rsidRPr="00D40B26">
        <w:rPr>
          <w:rFonts w:ascii="Times New Roman" w:hAnsi="Times New Roman"/>
          <w:color w:val="000000"/>
          <w:sz w:val="28"/>
          <w:szCs w:val="28"/>
        </w:rPr>
        <w:t xml:space="preserve"> phụ biểu F01-01/BCQT</w:t>
      </w:r>
      <w:r w:rsidR="00787D9F" w:rsidRPr="00D40B26">
        <w:rPr>
          <w:rFonts w:ascii="Times New Roman" w:hAnsi="Times New Roman"/>
          <w:color w:val="000000"/>
          <w:sz w:val="28"/>
          <w:szCs w:val="28"/>
          <w:lang w:val="sv-SE"/>
        </w:rPr>
        <w:t xml:space="preserve"> và</w:t>
      </w:r>
      <w:r w:rsidR="00CA0672" w:rsidRPr="00D40B26">
        <w:rPr>
          <w:rFonts w:ascii="Times New Roman" w:hAnsi="Times New Roman"/>
          <w:color w:val="000000"/>
          <w:sz w:val="28"/>
          <w:szCs w:val="28"/>
          <w:lang w:val="sv-SE"/>
        </w:rPr>
        <w:t xml:space="preserve"> Biểu</w:t>
      </w:r>
      <w:r w:rsidR="00CA0672" w:rsidRPr="00D40B26">
        <w:rPr>
          <w:rFonts w:ascii="Times New Roman" w:hAnsi="Times New Roman"/>
          <w:color w:val="000000"/>
          <w:sz w:val="28"/>
          <w:szCs w:val="28"/>
        </w:rPr>
        <w:t xml:space="preserve"> </w:t>
      </w:r>
      <w:r w:rsidR="00CA0672" w:rsidRPr="00D40B26">
        <w:rPr>
          <w:rFonts w:ascii="Times New Roman" w:hAnsi="Times New Roman"/>
          <w:color w:val="000000"/>
          <w:sz w:val="28"/>
          <w:szCs w:val="28"/>
          <w:lang w:val="sv-SE"/>
        </w:rPr>
        <w:t xml:space="preserve">số </w:t>
      </w:r>
      <w:r w:rsidR="00CA0672" w:rsidRPr="00D40B26">
        <w:rPr>
          <w:rFonts w:ascii="Times New Roman" w:hAnsi="Times New Roman"/>
          <w:color w:val="000000"/>
          <w:sz w:val="28"/>
          <w:szCs w:val="28"/>
        </w:rPr>
        <w:t>B02/BCQT</w:t>
      </w:r>
      <w:r w:rsidR="00DF1B88" w:rsidRPr="00D40B26">
        <w:rPr>
          <w:rFonts w:ascii="Times New Roman" w:hAnsi="Times New Roman"/>
          <w:color w:val="000000"/>
          <w:sz w:val="28"/>
          <w:szCs w:val="28"/>
          <w:lang w:val="sv-SE"/>
        </w:rPr>
        <w:t xml:space="preserve"> </w:t>
      </w:r>
      <w:r w:rsidR="0065362C" w:rsidRPr="00D40B26">
        <w:rPr>
          <w:rFonts w:ascii="Times New Roman" w:hAnsi="Times New Roman"/>
          <w:color w:val="000000"/>
          <w:sz w:val="28"/>
          <w:szCs w:val="28"/>
          <w:lang w:val="sv-SE"/>
        </w:rPr>
        <w:t>ban hành kèm</w:t>
      </w:r>
      <w:r w:rsidR="0065362C" w:rsidRPr="00D40B26">
        <w:rPr>
          <w:rFonts w:ascii="Times New Roman" w:hAnsi="Times New Roman"/>
          <w:color w:val="000000"/>
          <w:sz w:val="28"/>
          <w:szCs w:val="28"/>
        </w:rPr>
        <w:t xml:space="preserve"> Thông tư </w:t>
      </w:r>
      <w:r w:rsidR="0090527E" w:rsidRPr="00D40B26">
        <w:rPr>
          <w:rFonts w:ascii="Times New Roman" w:hAnsi="Times New Roman"/>
          <w:color w:val="000000"/>
          <w:sz w:val="28"/>
          <w:szCs w:val="28"/>
          <w:lang w:val="sv-SE"/>
        </w:rPr>
        <w:t xml:space="preserve">số </w:t>
      </w:r>
      <w:r w:rsidR="0065362C" w:rsidRPr="00D40B26">
        <w:rPr>
          <w:rFonts w:ascii="Times New Roman" w:hAnsi="Times New Roman"/>
          <w:color w:val="000000"/>
          <w:sz w:val="28"/>
          <w:szCs w:val="28"/>
        </w:rPr>
        <w:t>107/2017/TT-BTC ngày 10</w:t>
      </w:r>
      <w:r w:rsidR="00F8389C" w:rsidRPr="00D40B26">
        <w:rPr>
          <w:rFonts w:ascii="Times New Roman" w:hAnsi="Times New Roman"/>
          <w:color w:val="000000"/>
          <w:sz w:val="28"/>
          <w:szCs w:val="28"/>
          <w:lang w:val="sv-SE"/>
        </w:rPr>
        <w:t xml:space="preserve"> tháng </w:t>
      </w:r>
      <w:r w:rsidR="0065362C" w:rsidRPr="00D40B26">
        <w:rPr>
          <w:rFonts w:ascii="Times New Roman" w:hAnsi="Times New Roman"/>
          <w:color w:val="000000"/>
          <w:sz w:val="28"/>
          <w:szCs w:val="28"/>
        </w:rPr>
        <w:t>10</w:t>
      </w:r>
      <w:r w:rsidR="00F8389C" w:rsidRPr="00D40B26">
        <w:rPr>
          <w:rFonts w:ascii="Times New Roman" w:hAnsi="Times New Roman"/>
          <w:color w:val="000000"/>
          <w:sz w:val="28"/>
          <w:szCs w:val="28"/>
          <w:lang w:val="sv-SE"/>
        </w:rPr>
        <w:t xml:space="preserve"> năm </w:t>
      </w:r>
      <w:r w:rsidR="0065362C" w:rsidRPr="00D40B26">
        <w:rPr>
          <w:rFonts w:ascii="Times New Roman" w:hAnsi="Times New Roman"/>
          <w:color w:val="000000"/>
          <w:sz w:val="28"/>
          <w:szCs w:val="28"/>
        </w:rPr>
        <w:t>2017 của Bộ Tài chính hướng dẫn chế độ kế toán hành chính sự nghiệp</w:t>
      </w:r>
      <w:r w:rsidR="0090527E" w:rsidRPr="00D40B26">
        <w:rPr>
          <w:rFonts w:ascii="Times New Roman" w:hAnsi="Times New Roman"/>
          <w:color w:val="000000"/>
          <w:sz w:val="28"/>
          <w:szCs w:val="28"/>
          <w:lang w:val="sv-SE"/>
        </w:rPr>
        <w:t xml:space="preserve"> (sau đây viết tắt là </w:t>
      </w:r>
      <w:r w:rsidR="0090527E" w:rsidRPr="00D40B26">
        <w:rPr>
          <w:rFonts w:ascii="Times New Roman" w:hAnsi="Times New Roman"/>
          <w:color w:val="000000"/>
          <w:sz w:val="28"/>
          <w:szCs w:val="28"/>
        </w:rPr>
        <w:t xml:space="preserve">Thông tư </w:t>
      </w:r>
      <w:r w:rsidR="0090527E" w:rsidRPr="00D40B26">
        <w:rPr>
          <w:rFonts w:ascii="Times New Roman" w:hAnsi="Times New Roman"/>
          <w:color w:val="000000"/>
          <w:sz w:val="28"/>
          <w:szCs w:val="28"/>
          <w:lang w:val="sv-SE"/>
        </w:rPr>
        <w:t xml:space="preserve">số </w:t>
      </w:r>
      <w:r w:rsidR="0090527E" w:rsidRPr="00D40B26">
        <w:rPr>
          <w:rFonts w:ascii="Times New Roman" w:hAnsi="Times New Roman"/>
          <w:color w:val="000000"/>
          <w:sz w:val="28"/>
          <w:szCs w:val="28"/>
        </w:rPr>
        <w:t>107/2017/TT-BTC</w:t>
      </w:r>
      <w:r w:rsidR="00647852" w:rsidRPr="00D40B26">
        <w:rPr>
          <w:rFonts w:ascii="Times New Roman" w:hAnsi="Times New Roman"/>
          <w:color w:val="000000"/>
          <w:sz w:val="28"/>
          <w:szCs w:val="28"/>
          <w:lang w:val="sv-SE"/>
        </w:rPr>
        <w:t>)</w:t>
      </w:r>
      <w:r w:rsidR="00787D9F" w:rsidRPr="00D40B26">
        <w:rPr>
          <w:rFonts w:ascii="Times New Roman" w:hAnsi="Times New Roman"/>
          <w:color w:val="000000"/>
          <w:sz w:val="28"/>
          <w:szCs w:val="28"/>
          <w:lang w:val="sv-SE"/>
        </w:rPr>
        <w:t xml:space="preserve"> và Biểu số 03 </w:t>
      </w:r>
      <w:r w:rsidR="00726F88" w:rsidRPr="00D40B26">
        <w:rPr>
          <w:rFonts w:ascii="Times New Roman" w:hAnsi="Times New Roman"/>
          <w:color w:val="000000"/>
          <w:sz w:val="28"/>
          <w:szCs w:val="28"/>
          <w:lang w:val="sv-SE"/>
        </w:rPr>
        <w:t xml:space="preserve">ban hành kèm theo </w:t>
      </w:r>
      <w:r w:rsidR="00726F88" w:rsidRPr="00D40B26">
        <w:rPr>
          <w:rFonts w:asciiTheme="majorHAnsi" w:hAnsiTheme="majorHAnsi" w:cstheme="majorHAnsi"/>
          <w:sz w:val="28"/>
          <w:szCs w:val="28"/>
          <w:lang w:val="sv-SE"/>
        </w:rPr>
        <w:t>Thông tư số 137/2017/TT-BTC)</w:t>
      </w:r>
      <w:r w:rsidR="0065362C" w:rsidRPr="00D40B26">
        <w:rPr>
          <w:rFonts w:ascii="Times New Roman" w:hAnsi="Times New Roman"/>
          <w:color w:val="000000"/>
          <w:sz w:val="28"/>
          <w:szCs w:val="28"/>
        </w:rPr>
        <w:t>,</w:t>
      </w:r>
      <w:r w:rsidRPr="00D40B26">
        <w:rPr>
          <w:rFonts w:asciiTheme="majorHAnsi" w:hAnsiTheme="majorHAnsi" w:cstheme="majorHAnsi"/>
          <w:sz w:val="28"/>
          <w:szCs w:val="28"/>
          <w:lang w:val="pl-PL"/>
        </w:rPr>
        <w:t xml:space="preserve"> gửi BHXH Việt Nam tổng hợp quyết toán theo quy định</w:t>
      </w:r>
      <w:r w:rsidRPr="00D40B26">
        <w:rPr>
          <w:rFonts w:asciiTheme="majorHAnsi" w:hAnsiTheme="majorHAnsi" w:cstheme="majorHAnsi"/>
          <w:sz w:val="28"/>
          <w:szCs w:val="28"/>
          <w:lang w:val="sv-SE"/>
        </w:rPr>
        <w:t>.”</w:t>
      </w:r>
    </w:p>
    <w:p w:rsidR="002E3EAF" w:rsidRPr="00DD4A0E" w:rsidRDefault="002E3EAF" w:rsidP="00C3239C">
      <w:pPr>
        <w:spacing w:before="80" w:after="0" w:line="240" w:lineRule="auto"/>
        <w:ind w:firstLine="720"/>
        <w:jc w:val="both"/>
        <w:rPr>
          <w:rFonts w:asciiTheme="majorHAnsi" w:hAnsiTheme="majorHAnsi" w:cstheme="majorHAnsi"/>
          <w:sz w:val="28"/>
          <w:szCs w:val="28"/>
        </w:rPr>
      </w:pPr>
      <w:r w:rsidRPr="00DD4A0E">
        <w:rPr>
          <w:rFonts w:asciiTheme="majorHAnsi" w:hAnsiTheme="majorHAnsi" w:cstheme="majorHAnsi"/>
          <w:snapToGrid w:val="0"/>
          <w:sz w:val="28"/>
          <w:szCs w:val="28"/>
        </w:rPr>
        <w:t xml:space="preserve">10. Bổ sung Điều 10a </w:t>
      </w:r>
      <w:r w:rsidRPr="00DD4A0E">
        <w:rPr>
          <w:rFonts w:asciiTheme="majorHAnsi" w:hAnsiTheme="majorHAnsi" w:cstheme="majorHAnsi"/>
          <w:sz w:val="28"/>
          <w:szCs w:val="28"/>
        </w:rPr>
        <w:t>như sau:</w:t>
      </w:r>
    </w:p>
    <w:p w:rsidR="002E3EAF" w:rsidRPr="00DD4A0E" w:rsidRDefault="002E3EAF" w:rsidP="00C3239C">
      <w:pPr>
        <w:spacing w:before="80" w:after="0" w:line="240" w:lineRule="auto"/>
        <w:ind w:firstLine="720"/>
        <w:jc w:val="both"/>
        <w:rPr>
          <w:rFonts w:asciiTheme="majorHAnsi" w:hAnsiTheme="majorHAnsi" w:cstheme="majorHAnsi"/>
          <w:b/>
          <w:sz w:val="28"/>
          <w:szCs w:val="28"/>
        </w:rPr>
      </w:pPr>
      <w:r w:rsidRPr="00DD4A0E">
        <w:rPr>
          <w:rFonts w:asciiTheme="majorHAnsi" w:hAnsiTheme="majorHAnsi" w:cstheme="majorHAnsi"/>
          <w:b/>
          <w:sz w:val="28"/>
          <w:szCs w:val="28"/>
        </w:rPr>
        <w:t>“Điều 10a. Chi phí quản lý đối với BH TNLĐ, BNN</w:t>
      </w:r>
    </w:p>
    <w:p w:rsidR="002E3EAF" w:rsidRPr="00DD4A0E" w:rsidRDefault="002E3EAF" w:rsidP="00C3239C">
      <w:pPr>
        <w:spacing w:before="80" w:after="0" w:line="240" w:lineRule="auto"/>
        <w:ind w:firstLine="720"/>
        <w:jc w:val="both"/>
        <w:rPr>
          <w:rFonts w:asciiTheme="majorHAnsi" w:hAnsiTheme="majorHAnsi" w:cstheme="majorHAnsi"/>
          <w:sz w:val="28"/>
          <w:szCs w:val="28"/>
        </w:rPr>
      </w:pPr>
      <w:r w:rsidRPr="00DD4A0E">
        <w:rPr>
          <w:rFonts w:asciiTheme="majorHAnsi" w:hAnsiTheme="majorHAnsi" w:cstheme="majorHAnsi"/>
          <w:sz w:val="28"/>
          <w:szCs w:val="28"/>
        </w:rPr>
        <w:t>1. Nội dung và mức chi:</w:t>
      </w:r>
    </w:p>
    <w:p w:rsidR="002E3EAF" w:rsidRPr="00DD4A0E" w:rsidRDefault="002E3EAF" w:rsidP="00C3239C">
      <w:pPr>
        <w:spacing w:before="80" w:after="0" w:line="240" w:lineRule="auto"/>
        <w:ind w:firstLine="720"/>
        <w:jc w:val="both"/>
        <w:rPr>
          <w:rFonts w:asciiTheme="majorHAnsi" w:hAnsiTheme="majorHAnsi" w:cstheme="majorHAnsi"/>
          <w:sz w:val="28"/>
          <w:szCs w:val="28"/>
        </w:rPr>
      </w:pPr>
      <w:r w:rsidRPr="00DD4A0E">
        <w:rPr>
          <w:rFonts w:asciiTheme="majorHAnsi" w:hAnsiTheme="majorHAnsi" w:cstheme="majorHAnsi"/>
          <w:sz w:val="28"/>
          <w:szCs w:val="28"/>
        </w:rPr>
        <w:t>a) Hỗ trợ chi tuyên truyền, phổ biến chính sách, pháp luật về BH TNLĐ, BNN</w:t>
      </w:r>
      <w:r w:rsidR="00BC30B9" w:rsidRPr="00DD4A0E">
        <w:rPr>
          <w:rFonts w:asciiTheme="majorHAnsi" w:hAnsiTheme="majorHAnsi" w:cstheme="majorHAnsi"/>
          <w:sz w:val="28"/>
          <w:szCs w:val="28"/>
        </w:rPr>
        <w:t xml:space="preserve">, </w:t>
      </w:r>
      <w:r w:rsidR="00BC30B9" w:rsidRPr="00DD4A0E">
        <w:rPr>
          <w:rFonts w:asciiTheme="majorHAnsi" w:eastAsia="Times New Roman" w:hAnsiTheme="majorHAnsi" w:cstheme="majorHAnsi"/>
          <w:iCs/>
          <w:sz w:val="28"/>
          <w:szCs w:val="28"/>
        </w:rPr>
        <w:t xml:space="preserve">các biện pháp cải thiện điều kiện lao động, công tác phòng ngừa TNLĐ, BNN; </w:t>
      </w:r>
      <w:r w:rsidRPr="00DD4A0E">
        <w:rPr>
          <w:rFonts w:asciiTheme="majorHAnsi" w:hAnsiTheme="majorHAnsi" w:cstheme="majorHAnsi"/>
          <w:sz w:val="28"/>
          <w:szCs w:val="28"/>
        </w:rPr>
        <w:t>tập huấn, bồi dưỡng chuyên môn, nghiệp vụ về BH TNLĐ, BNN; cải cách thủ tục hành chính về BH TNLĐ, BNN; chi mua sắm hiện đại hóa hệ thống quản lý: Thực hiện theo nội dung chi có liên quan quy định tại các khoản 1, 2, 3, 8 và 11 Điều 9 Quyết định số 60/2015/QĐ-TTg;</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b) Hỗ trợ chi phí in ấn, văn phòng phẩm, phô tô tài liệu, biểu mẫu, thông báo, báo cáo;</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c) Hỗ trợ chi phí bảo quản, lưu trữ tài liệu có liên quan về BH TNLĐ, BNN;</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lastRenderedPageBreak/>
        <w:t xml:space="preserve">d) Chi hỗ trợ cơ quan </w:t>
      </w:r>
      <w:r w:rsidR="003769C3" w:rsidRPr="003769C3">
        <w:rPr>
          <w:rFonts w:asciiTheme="majorHAnsi" w:hAnsiTheme="majorHAnsi" w:cstheme="majorHAnsi"/>
          <w:sz w:val="28"/>
          <w:szCs w:val="28"/>
          <w:lang w:val="vi-VN"/>
        </w:rPr>
        <w:t>L</w:t>
      </w:r>
      <w:r w:rsidRPr="00DD4A0E">
        <w:rPr>
          <w:rFonts w:asciiTheme="majorHAnsi" w:hAnsiTheme="majorHAnsi" w:cstheme="majorHAnsi"/>
          <w:sz w:val="28"/>
          <w:szCs w:val="28"/>
          <w:lang w:val="vi-VN"/>
        </w:rPr>
        <w:t>ao động</w:t>
      </w:r>
      <w:r w:rsidR="003769C3" w:rsidRPr="003769C3">
        <w:rPr>
          <w:rFonts w:asciiTheme="majorHAnsi" w:hAnsiTheme="majorHAnsi" w:cstheme="majorHAnsi"/>
          <w:sz w:val="28"/>
          <w:szCs w:val="28"/>
          <w:lang w:val="vi-VN"/>
        </w:rPr>
        <w:t xml:space="preserve"> </w:t>
      </w:r>
      <w:r w:rsidRPr="00DD4A0E">
        <w:rPr>
          <w:rFonts w:asciiTheme="majorHAnsi" w:hAnsiTheme="majorHAnsi" w:cstheme="majorHAnsi"/>
          <w:sz w:val="28"/>
          <w:szCs w:val="28"/>
          <w:lang w:val="vi-VN"/>
        </w:rPr>
        <w:t>-</w:t>
      </w:r>
      <w:r w:rsidR="003769C3" w:rsidRPr="003769C3">
        <w:rPr>
          <w:rFonts w:asciiTheme="majorHAnsi" w:hAnsiTheme="majorHAnsi" w:cstheme="majorHAnsi"/>
          <w:sz w:val="28"/>
          <w:szCs w:val="28"/>
          <w:lang w:val="vi-VN"/>
        </w:rPr>
        <w:t xml:space="preserve"> T</w:t>
      </w:r>
      <w:r w:rsidRPr="00DD4A0E">
        <w:rPr>
          <w:rFonts w:asciiTheme="majorHAnsi" w:hAnsiTheme="majorHAnsi" w:cstheme="majorHAnsi"/>
          <w:sz w:val="28"/>
          <w:szCs w:val="28"/>
          <w:lang w:val="vi-VN"/>
        </w:rPr>
        <w:t xml:space="preserve">hương binh và </w:t>
      </w:r>
      <w:r w:rsidR="003769C3" w:rsidRPr="003769C3">
        <w:rPr>
          <w:rFonts w:asciiTheme="majorHAnsi" w:hAnsiTheme="majorHAnsi" w:cstheme="majorHAnsi"/>
          <w:sz w:val="28"/>
          <w:szCs w:val="28"/>
          <w:lang w:val="vi-VN"/>
        </w:rPr>
        <w:t>X</w:t>
      </w:r>
      <w:r w:rsidRPr="00DD4A0E">
        <w:rPr>
          <w:rFonts w:asciiTheme="majorHAnsi" w:hAnsiTheme="majorHAnsi" w:cstheme="majorHAnsi"/>
          <w:sz w:val="28"/>
          <w:szCs w:val="28"/>
          <w:lang w:val="vi-VN"/>
        </w:rPr>
        <w:t>ã hội, cơ quan có liên quan trong việc thực hiện chế độ bảo hiểm BH TNLĐ, BNN, thanh tra, kiểm tra và các nhiệm vụ liên quan về BH TNLĐ, BNN (bao gồm cả việc tổng hợp, tiếp nhận, thẩm định hồ sơ hoạt động hỗ trợ phòng ngừa, chia sẻ rủi ro về TNLĐ, BNN</w:t>
      </w:r>
      <w:r w:rsidR="00BC30B9" w:rsidRPr="00DD4A0E">
        <w:rPr>
          <w:rFonts w:asciiTheme="majorHAnsi" w:hAnsiTheme="majorHAnsi" w:cstheme="majorHAnsi"/>
          <w:sz w:val="28"/>
          <w:szCs w:val="28"/>
          <w:lang w:val="vi-VN"/>
        </w:rPr>
        <w:t xml:space="preserve"> và </w:t>
      </w:r>
      <w:r w:rsidR="00BC30B9" w:rsidRPr="00DD4A0E">
        <w:rPr>
          <w:rFonts w:asciiTheme="majorHAnsi" w:hAnsiTheme="majorHAnsi" w:cstheme="majorHAnsi"/>
          <w:iCs/>
          <w:sz w:val="28"/>
          <w:szCs w:val="28"/>
          <w:lang w:val="vi-VN"/>
        </w:rPr>
        <w:t>điều chỉnh mức đóng bảo hiểm TNLĐ, BNN</w:t>
      </w:r>
      <w:r w:rsidRPr="00DD4A0E">
        <w:rPr>
          <w:rFonts w:asciiTheme="majorHAnsi" w:hAnsiTheme="majorHAnsi" w:cstheme="majorHAnsi"/>
          <w:sz w:val="28"/>
          <w:szCs w:val="28"/>
          <w:lang w:val="vi-VN"/>
        </w:rPr>
        <w:t>). Mức hỗ trợ cụ thể do Thủ trưởng đơn vị quyết định trong phạm vi nguồn chi phí quản lý được sử dụng;</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đ) Đối với công chức, viên chức thường xuyên phải đi kiểm tra, xác minh hồ sơ đối tượng hưởng BH TNLĐ, BNN tại khu dân cư mà tự túc bằng phương tiện cá nhân và không thuộc phạm vi thanh toán chế độ công tác phí theo quy định, thì được hỗ trợ theo phương thức khoán tiền tự túc phương tiện (gồm tiền nhiên liệu, khấu hao xe và chi phí</w:t>
      </w:r>
      <w:r w:rsidR="007C510A" w:rsidRPr="00DD4A0E">
        <w:rPr>
          <w:rFonts w:asciiTheme="majorHAnsi" w:hAnsiTheme="majorHAnsi" w:cstheme="majorHAnsi"/>
          <w:sz w:val="28"/>
          <w:szCs w:val="28"/>
          <w:lang w:val="vi-VN"/>
        </w:rPr>
        <w:t xml:space="preserve"> </w:t>
      </w:r>
      <w:r w:rsidRPr="00DD4A0E">
        <w:rPr>
          <w:rFonts w:asciiTheme="majorHAnsi" w:hAnsiTheme="majorHAnsi" w:cstheme="majorHAnsi"/>
          <w:sz w:val="28"/>
          <w:szCs w:val="28"/>
          <w:lang w:val="vi-VN"/>
        </w:rPr>
        <w:t>gửi xe) tối đa không quá 01 lần mức lương cơ sở/người/tháng. Mức khoán cụ thể do thủ trưởng đơn vị quyết định trong phạm vi nguồn chi phí quản lý được sử dụng;</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e) Chi phí chuyển tiền chi phí quản lý BH TNLĐ, BNN cho Kho bạc nhà nước, ngân hàng thương mại;</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g) Chi hoạt động phối hợp kiểm tra, giám sát việc giải quyết chế độ BH TNLĐ, BNN và các nhiệm vụ liên quan về BH TNLĐ, BNN: Hỗ trợ công tác phối hợp chỉ đạo, chế độ công tác phí, làm đêm, thêm giờ, chi phí xăng xe hoặc thuê phương tiện phục vụ công tác kiểm tra, giám sát;</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h) Chi không thường xuyên, gồm:</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 xml:space="preserve">- </w:t>
      </w:r>
      <w:r w:rsidR="00B863C6" w:rsidRPr="00DD4A0E">
        <w:rPr>
          <w:rFonts w:asciiTheme="majorHAnsi" w:hAnsiTheme="majorHAnsi" w:cstheme="majorHAnsi"/>
          <w:sz w:val="28"/>
          <w:szCs w:val="28"/>
          <w:lang w:val="vi-VN"/>
        </w:rPr>
        <w:t>Hỗ trợ c</w:t>
      </w:r>
      <w:r w:rsidRPr="00DD4A0E">
        <w:rPr>
          <w:rFonts w:asciiTheme="majorHAnsi" w:hAnsiTheme="majorHAnsi" w:cstheme="majorHAnsi"/>
          <w:sz w:val="28"/>
          <w:szCs w:val="28"/>
          <w:lang w:val="vi-VN"/>
        </w:rPr>
        <w:t>hi nghiên cứu khoa học cấp cơ sở: Thực hiện theo quy định của pháp luật về chế độ chi tiêu đối với các nhiệm vụ khoa học và công nghệ;</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 xml:space="preserve">- </w:t>
      </w:r>
      <w:r w:rsidR="00B863C6" w:rsidRPr="00DD4A0E">
        <w:rPr>
          <w:rFonts w:asciiTheme="majorHAnsi" w:hAnsiTheme="majorHAnsi" w:cstheme="majorHAnsi"/>
          <w:sz w:val="28"/>
          <w:szCs w:val="28"/>
          <w:lang w:val="vi-VN"/>
        </w:rPr>
        <w:t>Hỗ trợ c</w:t>
      </w:r>
      <w:r w:rsidRPr="00DD4A0E">
        <w:rPr>
          <w:rFonts w:asciiTheme="majorHAnsi" w:hAnsiTheme="majorHAnsi" w:cstheme="majorHAnsi"/>
          <w:sz w:val="28"/>
          <w:szCs w:val="28"/>
          <w:lang w:val="vi-VN"/>
        </w:rPr>
        <w:t xml:space="preserve">hi học tập, trao đổi kinh nghiệm ở nước ngoài và đón tiếp khách nước ngoài vào làm việc tại Việt Nam về thực hiện chính sách </w:t>
      </w:r>
      <w:r w:rsidR="00125FB0" w:rsidRPr="00DD4A0E">
        <w:rPr>
          <w:rFonts w:asciiTheme="majorHAnsi" w:hAnsiTheme="majorHAnsi" w:cstheme="majorHAnsi"/>
          <w:sz w:val="28"/>
          <w:szCs w:val="28"/>
          <w:lang w:val="vi-VN"/>
        </w:rPr>
        <w:t xml:space="preserve">chế </w:t>
      </w:r>
      <w:r w:rsidRPr="00DD4A0E">
        <w:rPr>
          <w:rFonts w:asciiTheme="majorHAnsi" w:hAnsiTheme="majorHAnsi" w:cstheme="majorHAnsi"/>
          <w:sz w:val="28"/>
          <w:szCs w:val="28"/>
          <w:lang w:val="vi-VN"/>
        </w:rPr>
        <w:t>độ BH TNLĐ, BNN do cấp có thẩm quyền quyết định;</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 Các khoản chi khác theo quy định của pháp luật.</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2. Quản lý và sử dụng kinh phí:</w:t>
      </w:r>
    </w:p>
    <w:p w:rsidR="002E3EAF" w:rsidRPr="00DD4A0E" w:rsidRDefault="002E3EAF" w:rsidP="00C3239C">
      <w:pPr>
        <w:pStyle w:val="NormalWeb"/>
        <w:shd w:val="clear" w:color="auto" w:fill="FFFFFF"/>
        <w:spacing w:before="80" w:beforeAutospacing="0" w:after="0" w:afterAutospacing="0"/>
        <w:ind w:firstLine="720"/>
        <w:jc w:val="both"/>
        <w:rPr>
          <w:rFonts w:asciiTheme="majorHAnsi" w:hAnsiTheme="majorHAnsi" w:cstheme="majorHAnsi"/>
          <w:sz w:val="28"/>
          <w:szCs w:val="28"/>
          <w:lang w:val="vi-VN"/>
        </w:rPr>
      </w:pPr>
      <w:r w:rsidRPr="00DD4A0E">
        <w:rPr>
          <w:rFonts w:asciiTheme="majorHAnsi" w:hAnsiTheme="majorHAnsi" w:cstheme="majorHAnsi"/>
          <w:sz w:val="28"/>
          <w:szCs w:val="28"/>
          <w:lang w:val="vi-VN"/>
        </w:rPr>
        <w:t>a) Căn cứ dự toán được giao, các đơn vị quản lý và sử dụng kinh phí để thực hiện các nhiệm vụ theo phân công của Bộ trưởng Bộ Lao động</w:t>
      </w:r>
      <w:r w:rsidR="00617939" w:rsidRPr="00617939">
        <w:rPr>
          <w:rFonts w:asciiTheme="majorHAnsi" w:hAnsiTheme="majorHAnsi" w:cstheme="majorHAnsi"/>
          <w:sz w:val="28"/>
          <w:szCs w:val="28"/>
          <w:lang w:val="vi-VN"/>
        </w:rPr>
        <w:t xml:space="preserve"> </w:t>
      </w:r>
      <w:r w:rsidRPr="00DD4A0E">
        <w:rPr>
          <w:rFonts w:asciiTheme="majorHAnsi" w:hAnsiTheme="majorHAnsi" w:cstheme="majorHAnsi"/>
          <w:sz w:val="28"/>
          <w:szCs w:val="28"/>
          <w:lang w:val="vi-VN"/>
        </w:rPr>
        <w:t>-</w:t>
      </w:r>
      <w:r w:rsidR="00617939" w:rsidRPr="00617939">
        <w:rPr>
          <w:rFonts w:asciiTheme="majorHAnsi" w:hAnsiTheme="majorHAnsi" w:cstheme="majorHAnsi"/>
          <w:sz w:val="28"/>
          <w:szCs w:val="28"/>
          <w:lang w:val="vi-VN"/>
        </w:rPr>
        <w:t xml:space="preserve"> </w:t>
      </w:r>
      <w:r w:rsidRPr="00DD4A0E">
        <w:rPr>
          <w:rFonts w:asciiTheme="majorHAnsi" w:hAnsiTheme="majorHAnsi" w:cstheme="majorHAnsi"/>
          <w:sz w:val="28"/>
          <w:szCs w:val="28"/>
          <w:lang w:val="vi-VN"/>
        </w:rPr>
        <w:t>Thương binh và Xã hội và nội dung chi theo quy định tại khoản 1 Điều này;</w:t>
      </w:r>
    </w:p>
    <w:p w:rsidR="002E3EAF" w:rsidRPr="007F2429" w:rsidRDefault="002E3EAF" w:rsidP="00C3239C">
      <w:pPr>
        <w:tabs>
          <w:tab w:val="left" w:pos="709"/>
        </w:tabs>
        <w:spacing w:before="80" w:after="0" w:line="240" w:lineRule="auto"/>
        <w:jc w:val="both"/>
        <w:rPr>
          <w:rFonts w:asciiTheme="majorHAnsi" w:hAnsiTheme="majorHAnsi" w:cstheme="majorHAnsi"/>
          <w:sz w:val="28"/>
          <w:szCs w:val="28"/>
        </w:rPr>
      </w:pPr>
      <w:r w:rsidRPr="00DD4A0E">
        <w:rPr>
          <w:rFonts w:asciiTheme="majorHAnsi" w:hAnsiTheme="majorHAnsi" w:cstheme="majorHAnsi"/>
          <w:spacing w:val="-1"/>
          <w:sz w:val="28"/>
          <w:szCs w:val="28"/>
        </w:rPr>
        <w:tab/>
        <w:t>b) K</w:t>
      </w:r>
      <w:r w:rsidRPr="00DD4A0E">
        <w:rPr>
          <w:rFonts w:asciiTheme="majorHAnsi" w:hAnsiTheme="majorHAnsi" w:cstheme="majorHAnsi"/>
          <w:spacing w:val="2"/>
          <w:sz w:val="28"/>
          <w:szCs w:val="28"/>
        </w:rPr>
        <w:t>inh phí bố trí cho các nhiệm vụ trong năm đến cuối năm chưa sử dụng được chuyển nguồn sang năm sau tiếp tục sử dụng</w:t>
      </w:r>
      <w:r w:rsidR="007F2429" w:rsidRPr="007F2429">
        <w:rPr>
          <w:rFonts w:asciiTheme="majorHAnsi" w:hAnsiTheme="majorHAnsi" w:cstheme="majorHAnsi"/>
          <w:sz w:val="28"/>
          <w:szCs w:val="28"/>
        </w:rPr>
        <w:t>;</w:t>
      </w:r>
    </w:p>
    <w:p w:rsidR="002E3EAF" w:rsidRPr="00DD4A0E" w:rsidRDefault="002E3EAF" w:rsidP="00C3239C">
      <w:pPr>
        <w:tabs>
          <w:tab w:val="left" w:pos="709"/>
        </w:tabs>
        <w:spacing w:before="80" w:after="0" w:line="240" w:lineRule="auto"/>
        <w:jc w:val="both"/>
        <w:rPr>
          <w:rFonts w:asciiTheme="majorHAnsi" w:hAnsiTheme="majorHAnsi" w:cstheme="majorHAnsi"/>
          <w:sz w:val="28"/>
          <w:szCs w:val="28"/>
        </w:rPr>
      </w:pPr>
      <w:r w:rsidRPr="00DD4A0E">
        <w:rPr>
          <w:rFonts w:asciiTheme="majorHAnsi" w:hAnsiTheme="majorHAnsi" w:cstheme="majorHAnsi"/>
          <w:sz w:val="28"/>
          <w:szCs w:val="28"/>
        </w:rPr>
        <w:tab/>
        <w:t xml:space="preserve">c) Kết thúc năm ngân sách, các đơn vị có trách nhiệm lập và gửi báo cáo quyết toán năm theo quy định </w:t>
      </w:r>
      <w:r w:rsidR="0090527E" w:rsidRPr="00DD4A0E">
        <w:rPr>
          <w:rFonts w:asciiTheme="majorHAnsi" w:hAnsiTheme="majorHAnsi" w:cstheme="majorHAnsi"/>
          <w:sz w:val="28"/>
          <w:szCs w:val="28"/>
        </w:rPr>
        <w:t xml:space="preserve">tại </w:t>
      </w:r>
      <w:r w:rsidR="0090527E" w:rsidRPr="00DD4A0E">
        <w:rPr>
          <w:rFonts w:ascii="Times New Roman" w:hAnsi="Times New Roman"/>
          <w:color w:val="000000"/>
          <w:sz w:val="28"/>
          <w:szCs w:val="28"/>
        </w:rPr>
        <w:t xml:space="preserve">Thông tư </w:t>
      </w:r>
      <w:r w:rsidR="0090527E" w:rsidRPr="00DD4A0E">
        <w:rPr>
          <w:rFonts w:ascii="Times New Roman" w:hAnsi="Times New Roman"/>
          <w:color w:val="000000"/>
          <w:sz w:val="28"/>
          <w:szCs w:val="28"/>
          <w:lang w:val="sv-SE"/>
        </w:rPr>
        <w:t xml:space="preserve">số </w:t>
      </w:r>
      <w:r w:rsidR="0090527E" w:rsidRPr="00DD4A0E">
        <w:rPr>
          <w:rFonts w:ascii="Times New Roman" w:hAnsi="Times New Roman"/>
          <w:color w:val="000000"/>
          <w:sz w:val="28"/>
          <w:szCs w:val="28"/>
        </w:rPr>
        <w:t>107/2017/TT-BTC</w:t>
      </w:r>
      <w:r w:rsidRPr="00DD4A0E">
        <w:rPr>
          <w:rFonts w:asciiTheme="majorHAnsi" w:hAnsiTheme="majorHAnsi" w:cstheme="majorHAnsi"/>
          <w:sz w:val="28"/>
          <w:szCs w:val="28"/>
        </w:rPr>
        <w:t>, gửi Bộ Lao động</w:t>
      </w:r>
      <w:r w:rsidR="004115BF" w:rsidRPr="004115BF">
        <w:rPr>
          <w:rFonts w:asciiTheme="majorHAnsi" w:hAnsiTheme="majorHAnsi" w:cstheme="majorHAnsi"/>
          <w:sz w:val="28"/>
          <w:szCs w:val="28"/>
        </w:rPr>
        <w:t xml:space="preserve"> </w:t>
      </w:r>
      <w:r w:rsidRPr="00DD4A0E">
        <w:rPr>
          <w:rFonts w:asciiTheme="majorHAnsi" w:hAnsiTheme="majorHAnsi" w:cstheme="majorHAnsi"/>
          <w:sz w:val="28"/>
          <w:szCs w:val="28"/>
        </w:rPr>
        <w:t>-</w:t>
      </w:r>
      <w:r w:rsidR="004115BF" w:rsidRPr="004115BF">
        <w:rPr>
          <w:rFonts w:asciiTheme="majorHAnsi" w:hAnsiTheme="majorHAnsi" w:cstheme="majorHAnsi"/>
          <w:sz w:val="28"/>
          <w:szCs w:val="28"/>
        </w:rPr>
        <w:t xml:space="preserve"> </w:t>
      </w:r>
      <w:r w:rsidRPr="00DD4A0E">
        <w:rPr>
          <w:rFonts w:asciiTheme="majorHAnsi" w:hAnsiTheme="majorHAnsi" w:cstheme="majorHAnsi"/>
          <w:sz w:val="28"/>
          <w:szCs w:val="28"/>
        </w:rPr>
        <w:t>Thương binh và Xã hội trước ngày 31 tháng 3 hằng năm để xét duyệt, tổng hợp, báo cáo quyết toán gửi BHXH Việt Nam.</w:t>
      </w:r>
    </w:p>
    <w:p w:rsidR="00573E0E" w:rsidRPr="00DD4A0E" w:rsidRDefault="00647852" w:rsidP="00C3239C">
      <w:pPr>
        <w:tabs>
          <w:tab w:val="left" w:pos="709"/>
        </w:tabs>
        <w:spacing w:before="80" w:after="0" w:line="240" w:lineRule="auto"/>
        <w:jc w:val="both"/>
        <w:rPr>
          <w:rFonts w:asciiTheme="majorHAnsi" w:hAnsiTheme="majorHAnsi" w:cstheme="majorHAnsi"/>
          <w:sz w:val="28"/>
          <w:szCs w:val="28"/>
          <w:lang w:val="sv-SE"/>
        </w:rPr>
      </w:pPr>
      <w:r w:rsidRPr="00DD4A0E">
        <w:rPr>
          <w:rFonts w:asciiTheme="majorHAnsi" w:hAnsiTheme="majorHAnsi" w:cstheme="majorHAnsi"/>
          <w:sz w:val="28"/>
          <w:szCs w:val="28"/>
        </w:rPr>
        <w:tab/>
      </w:r>
      <w:r w:rsidR="002E3EAF" w:rsidRPr="00DD4A0E">
        <w:rPr>
          <w:rFonts w:asciiTheme="majorHAnsi" w:hAnsiTheme="majorHAnsi" w:cstheme="majorHAnsi"/>
          <w:sz w:val="28"/>
          <w:szCs w:val="28"/>
        </w:rPr>
        <w:t>3.</w:t>
      </w:r>
      <w:r w:rsidRPr="00DD4A0E">
        <w:rPr>
          <w:rFonts w:asciiTheme="majorHAnsi" w:hAnsiTheme="majorHAnsi" w:cstheme="majorHAnsi"/>
          <w:sz w:val="28"/>
          <w:szCs w:val="28"/>
          <w:lang w:val="sv-SE"/>
        </w:rPr>
        <w:t xml:space="preserve">Xét duyệt và tổng hợp quyết toán: </w:t>
      </w:r>
    </w:p>
    <w:p w:rsidR="00647852" w:rsidRPr="00DD4A0E" w:rsidRDefault="00573E0E" w:rsidP="00C3239C">
      <w:pPr>
        <w:tabs>
          <w:tab w:val="left" w:pos="709"/>
        </w:tabs>
        <w:spacing w:before="80" w:after="0" w:line="240" w:lineRule="auto"/>
        <w:jc w:val="both"/>
        <w:rPr>
          <w:rFonts w:asciiTheme="majorHAnsi" w:hAnsiTheme="majorHAnsi" w:cstheme="majorHAnsi"/>
          <w:sz w:val="28"/>
          <w:szCs w:val="28"/>
          <w:lang w:val="sv-SE"/>
        </w:rPr>
      </w:pPr>
      <w:r w:rsidRPr="00DD4A0E">
        <w:rPr>
          <w:rFonts w:asciiTheme="majorHAnsi" w:hAnsiTheme="majorHAnsi" w:cstheme="majorHAnsi"/>
          <w:sz w:val="28"/>
          <w:szCs w:val="28"/>
          <w:lang w:val="sv-SE"/>
        </w:rPr>
        <w:lastRenderedPageBreak/>
        <w:tab/>
      </w:r>
      <w:r w:rsidR="002E3EAF" w:rsidRPr="00DD4A0E">
        <w:rPr>
          <w:rFonts w:asciiTheme="majorHAnsi" w:hAnsiTheme="majorHAnsi" w:cstheme="majorHAnsi"/>
          <w:sz w:val="28"/>
          <w:szCs w:val="28"/>
        </w:rPr>
        <w:t xml:space="preserve"> </w:t>
      </w:r>
      <w:r w:rsidR="004115BF" w:rsidRPr="00D40B26">
        <w:rPr>
          <w:rFonts w:asciiTheme="majorHAnsi" w:hAnsiTheme="majorHAnsi" w:cstheme="majorHAnsi"/>
          <w:sz w:val="28"/>
          <w:szCs w:val="28"/>
          <w:lang w:val="sv-SE"/>
        </w:rPr>
        <w:t xml:space="preserve">Bộ Lao động - Thương binh và Xã hội </w:t>
      </w:r>
      <w:r w:rsidR="002E3EAF" w:rsidRPr="00DD4A0E">
        <w:rPr>
          <w:rFonts w:asciiTheme="majorHAnsi" w:hAnsiTheme="majorHAnsi" w:cstheme="majorHAnsi"/>
          <w:sz w:val="28"/>
          <w:szCs w:val="28"/>
        </w:rPr>
        <w:t xml:space="preserve">có trách nhiệm xét duyệt quyết toán và thông báo kết quả xét duyệt quyết toán năm </w:t>
      </w:r>
      <w:r w:rsidR="00264CA5" w:rsidRPr="00DD4A0E">
        <w:rPr>
          <w:rFonts w:asciiTheme="majorHAnsi" w:hAnsiTheme="majorHAnsi" w:cstheme="majorHAnsi"/>
          <w:sz w:val="28"/>
          <w:szCs w:val="28"/>
        </w:rPr>
        <w:t>đối</w:t>
      </w:r>
      <w:r w:rsidR="00264CA5" w:rsidRPr="00DD4A0E">
        <w:rPr>
          <w:rFonts w:asciiTheme="majorHAnsi" w:hAnsiTheme="majorHAnsi" w:cstheme="majorHAnsi"/>
          <w:sz w:val="28"/>
          <w:szCs w:val="28"/>
          <w:lang w:val="sv-SE"/>
        </w:rPr>
        <w:t xml:space="preserve"> với nguồn kinh </w:t>
      </w:r>
      <w:r w:rsidR="002E3EAF" w:rsidRPr="00DD4A0E">
        <w:rPr>
          <w:rFonts w:asciiTheme="majorHAnsi" w:hAnsiTheme="majorHAnsi" w:cstheme="majorHAnsi"/>
          <w:sz w:val="28"/>
          <w:szCs w:val="28"/>
        </w:rPr>
        <w:t xml:space="preserve">phí quản lý BH TNLĐ, BNN cho các đơn vị theo quy định tại Thông tư số 137/2017/TT-BTC; </w:t>
      </w:r>
      <w:r w:rsidRPr="00DD4A0E">
        <w:rPr>
          <w:rFonts w:asciiTheme="majorHAnsi" w:hAnsiTheme="majorHAnsi" w:cstheme="majorHAnsi"/>
          <w:sz w:val="28"/>
          <w:szCs w:val="28"/>
          <w:lang w:val="pl-PL"/>
        </w:rPr>
        <w:t xml:space="preserve">tổng hợp và lập báo cáo quyết toán năm </w:t>
      </w:r>
      <w:r w:rsidR="00264CA5" w:rsidRPr="00DD4A0E">
        <w:rPr>
          <w:rFonts w:asciiTheme="majorHAnsi" w:hAnsiTheme="majorHAnsi" w:cstheme="majorHAnsi"/>
          <w:sz w:val="28"/>
          <w:szCs w:val="28"/>
        </w:rPr>
        <w:t>đối</w:t>
      </w:r>
      <w:r w:rsidR="00264CA5" w:rsidRPr="00DD4A0E">
        <w:rPr>
          <w:rFonts w:asciiTheme="majorHAnsi" w:hAnsiTheme="majorHAnsi" w:cstheme="majorHAnsi"/>
          <w:sz w:val="28"/>
          <w:szCs w:val="28"/>
          <w:lang w:val="sv-SE"/>
        </w:rPr>
        <w:t xml:space="preserve"> với nguồn kinh </w:t>
      </w:r>
      <w:r w:rsidR="00264CA5" w:rsidRPr="00DD4A0E">
        <w:rPr>
          <w:rFonts w:asciiTheme="majorHAnsi" w:hAnsiTheme="majorHAnsi" w:cstheme="majorHAnsi"/>
          <w:sz w:val="28"/>
          <w:szCs w:val="28"/>
        </w:rPr>
        <w:t xml:space="preserve">phí </w:t>
      </w:r>
      <w:r w:rsidRPr="00DD4A0E">
        <w:rPr>
          <w:rFonts w:asciiTheme="majorHAnsi" w:hAnsiTheme="majorHAnsi" w:cstheme="majorHAnsi"/>
          <w:sz w:val="28"/>
          <w:szCs w:val="28"/>
        </w:rPr>
        <w:t xml:space="preserve">quản lý BH TNLĐ, BNN </w:t>
      </w:r>
      <w:r w:rsidR="00647852" w:rsidRPr="00DD4A0E">
        <w:rPr>
          <w:rFonts w:asciiTheme="majorHAnsi" w:hAnsiTheme="majorHAnsi" w:cstheme="majorHAnsi"/>
          <w:sz w:val="28"/>
          <w:szCs w:val="28"/>
          <w:lang w:val="pl-PL"/>
        </w:rPr>
        <w:t>vào</w:t>
      </w:r>
      <w:r w:rsidR="00647852" w:rsidRPr="00DD4A0E">
        <w:rPr>
          <w:rFonts w:ascii="Times New Roman" w:hAnsi="Times New Roman"/>
          <w:color w:val="000000"/>
          <w:sz w:val="28"/>
          <w:szCs w:val="28"/>
          <w:lang w:val="sv-SE"/>
        </w:rPr>
        <w:t xml:space="preserve"> </w:t>
      </w:r>
      <w:r w:rsidR="00647852" w:rsidRPr="00DD4A0E">
        <w:rPr>
          <w:rFonts w:asciiTheme="majorHAnsi" w:hAnsiTheme="majorHAnsi" w:cstheme="majorHAnsi"/>
          <w:sz w:val="28"/>
          <w:szCs w:val="28"/>
          <w:lang w:val="pl-PL"/>
        </w:rPr>
        <w:t>nguồn hoạt động khác được để lại</w:t>
      </w:r>
      <w:r w:rsidR="00647852" w:rsidRPr="00DD4A0E">
        <w:rPr>
          <w:rFonts w:ascii="Times New Roman" w:hAnsi="Times New Roman"/>
          <w:color w:val="000000"/>
          <w:sz w:val="28"/>
          <w:szCs w:val="28"/>
        </w:rPr>
        <w:t xml:space="preserve"> </w:t>
      </w:r>
      <w:r w:rsidR="00370925" w:rsidRPr="00DD4A0E">
        <w:rPr>
          <w:rFonts w:ascii="Times New Roman" w:hAnsi="Times New Roman"/>
          <w:color w:val="000000"/>
          <w:sz w:val="28"/>
          <w:szCs w:val="28"/>
          <w:lang w:val="sv-SE"/>
        </w:rPr>
        <w:t>(</w:t>
      </w:r>
      <w:r w:rsidR="0090527E" w:rsidRPr="00DD4A0E">
        <w:rPr>
          <w:rFonts w:ascii="Times New Roman" w:hAnsi="Times New Roman"/>
          <w:color w:val="000000"/>
          <w:sz w:val="28"/>
          <w:szCs w:val="28"/>
        </w:rPr>
        <w:t xml:space="preserve">mẫu biểu </w:t>
      </w:r>
      <w:r w:rsidR="0090527E" w:rsidRPr="00DD4A0E">
        <w:rPr>
          <w:rFonts w:ascii="Times New Roman" w:hAnsi="Times New Roman"/>
          <w:color w:val="000000"/>
          <w:sz w:val="28"/>
          <w:szCs w:val="28"/>
          <w:lang w:val="sv-SE"/>
        </w:rPr>
        <w:t xml:space="preserve">thực hiện theo phần C Biểu số </w:t>
      </w:r>
      <w:r w:rsidR="0090527E" w:rsidRPr="00DD4A0E">
        <w:rPr>
          <w:rFonts w:ascii="Times New Roman" w:hAnsi="Times New Roman"/>
          <w:color w:val="000000"/>
          <w:sz w:val="28"/>
          <w:szCs w:val="28"/>
        </w:rPr>
        <w:t>B01/BCQT</w:t>
      </w:r>
      <w:r w:rsidR="0090527E" w:rsidRPr="00DD4A0E">
        <w:rPr>
          <w:rFonts w:ascii="Times New Roman" w:hAnsi="Times New Roman"/>
          <w:color w:val="000000"/>
          <w:sz w:val="28"/>
          <w:szCs w:val="28"/>
          <w:lang w:val="sv-SE"/>
        </w:rPr>
        <w:t>,</w:t>
      </w:r>
      <w:r w:rsidR="0090527E" w:rsidRPr="00DD4A0E">
        <w:rPr>
          <w:rFonts w:ascii="Times New Roman" w:hAnsi="Times New Roman"/>
          <w:color w:val="000000"/>
          <w:sz w:val="28"/>
          <w:szCs w:val="28"/>
        </w:rPr>
        <w:t xml:space="preserve"> phụ biểu F01-01/BCQT</w:t>
      </w:r>
      <w:r w:rsidR="0090527E" w:rsidRPr="00DD4A0E">
        <w:rPr>
          <w:rFonts w:ascii="Times New Roman" w:hAnsi="Times New Roman"/>
          <w:color w:val="000000"/>
          <w:sz w:val="28"/>
          <w:szCs w:val="28"/>
          <w:lang w:val="sv-SE"/>
        </w:rPr>
        <w:t xml:space="preserve"> </w:t>
      </w:r>
      <w:r w:rsidR="00D70435" w:rsidRPr="00DD4A0E">
        <w:rPr>
          <w:rFonts w:ascii="Times New Roman" w:hAnsi="Times New Roman"/>
          <w:color w:val="000000"/>
          <w:sz w:val="28"/>
          <w:szCs w:val="28"/>
          <w:lang w:val="sv-SE"/>
        </w:rPr>
        <w:t>và Biểu</w:t>
      </w:r>
      <w:r w:rsidR="00D70435" w:rsidRPr="00DD4A0E">
        <w:rPr>
          <w:rFonts w:ascii="Times New Roman" w:hAnsi="Times New Roman"/>
          <w:color w:val="000000"/>
          <w:sz w:val="28"/>
          <w:szCs w:val="28"/>
        </w:rPr>
        <w:t xml:space="preserve"> </w:t>
      </w:r>
      <w:r w:rsidR="00D70435" w:rsidRPr="00DD4A0E">
        <w:rPr>
          <w:rFonts w:ascii="Times New Roman" w:hAnsi="Times New Roman"/>
          <w:color w:val="000000"/>
          <w:sz w:val="28"/>
          <w:szCs w:val="28"/>
          <w:lang w:val="sv-SE"/>
        </w:rPr>
        <w:t xml:space="preserve">số </w:t>
      </w:r>
      <w:r w:rsidR="00D70435" w:rsidRPr="00DD4A0E">
        <w:rPr>
          <w:rFonts w:ascii="Times New Roman" w:hAnsi="Times New Roman"/>
          <w:color w:val="000000"/>
          <w:sz w:val="28"/>
          <w:szCs w:val="28"/>
        </w:rPr>
        <w:t>B02/BCQT</w:t>
      </w:r>
      <w:r w:rsidR="00D70435" w:rsidRPr="00DD4A0E">
        <w:rPr>
          <w:rFonts w:ascii="Times New Roman" w:hAnsi="Times New Roman"/>
          <w:color w:val="000000"/>
          <w:sz w:val="28"/>
          <w:szCs w:val="28"/>
          <w:lang w:val="sv-SE"/>
        </w:rPr>
        <w:t xml:space="preserve"> ban hành kèm</w:t>
      </w:r>
      <w:r w:rsidR="00D70435" w:rsidRPr="00DD4A0E">
        <w:rPr>
          <w:rFonts w:ascii="Times New Roman" w:hAnsi="Times New Roman"/>
          <w:color w:val="000000"/>
          <w:sz w:val="28"/>
          <w:szCs w:val="28"/>
        </w:rPr>
        <w:t xml:space="preserve"> Thông tư </w:t>
      </w:r>
      <w:r w:rsidR="00D70435" w:rsidRPr="00DD4A0E">
        <w:rPr>
          <w:rFonts w:ascii="Times New Roman" w:hAnsi="Times New Roman"/>
          <w:color w:val="000000"/>
          <w:sz w:val="28"/>
          <w:szCs w:val="28"/>
          <w:lang w:val="sv-SE"/>
        </w:rPr>
        <w:t xml:space="preserve">số </w:t>
      </w:r>
      <w:r w:rsidR="00D70435" w:rsidRPr="00DD4A0E">
        <w:rPr>
          <w:rFonts w:ascii="Times New Roman" w:hAnsi="Times New Roman"/>
          <w:color w:val="000000"/>
          <w:sz w:val="28"/>
          <w:szCs w:val="28"/>
        </w:rPr>
        <w:t xml:space="preserve">107/2017/TT-BTC </w:t>
      </w:r>
      <w:r w:rsidR="00D70435" w:rsidRPr="00DD4A0E">
        <w:rPr>
          <w:rFonts w:ascii="Times New Roman" w:hAnsi="Times New Roman"/>
          <w:color w:val="000000"/>
          <w:sz w:val="28"/>
          <w:szCs w:val="28"/>
          <w:lang w:val="sv-SE"/>
        </w:rPr>
        <w:t xml:space="preserve">và Biểu số 03 ban hành kèm theo </w:t>
      </w:r>
      <w:r w:rsidR="00D70435" w:rsidRPr="00DD4A0E">
        <w:rPr>
          <w:rFonts w:asciiTheme="majorHAnsi" w:hAnsiTheme="majorHAnsi" w:cstheme="majorHAnsi"/>
          <w:sz w:val="28"/>
          <w:szCs w:val="28"/>
          <w:lang w:val="sv-SE"/>
        </w:rPr>
        <w:t>Thông tư số 137/2017/TT-BTC</w:t>
      </w:r>
      <w:r w:rsidR="00647852" w:rsidRPr="00DD4A0E">
        <w:rPr>
          <w:rFonts w:ascii="Times New Roman" w:hAnsi="Times New Roman"/>
          <w:color w:val="000000"/>
          <w:sz w:val="28"/>
          <w:szCs w:val="28"/>
          <w:lang w:val="sv-SE"/>
        </w:rPr>
        <w:t>)</w:t>
      </w:r>
      <w:r w:rsidR="00647852" w:rsidRPr="00DD4A0E">
        <w:rPr>
          <w:rFonts w:ascii="Times New Roman" w:hAnsi="Times New Roman"/>
          <w:color w:val="000000"/>
          <w:sz w:val="28"/>
          <w:szCs w:val="28"/>
        </w:rPr>
        <w:t>,</w:t>
      </w:r>
      <w:r w:rsidR="00647852" w:rsidRPr="00DD4A0E">
        <w:rPr>
          <w:rFonts w:asciiTheme="majorHAnsi" w:hAnsiTheme="majorHAnsi" w:cstheme="majorHAnsi"/>
          <w:sz w:val="28"/>
          <w:szCs w:val="28"/>
          <w:lang w:val="pl-PL"/>
        </w:rPr>
        <w:t xml:space="preserve"> gửi BHXH Việt Nam tổng hợp quyết toán theo quy định</w:t>
      </w:r>
      <w:r w:rsidR="00647852" w:rsidRPr="00DD4A0E">
        <w:rPr>
          <w:rFonts w:asciiTheme="majorHAnsi" w:hAnsiTheme="majorHAnsi" w:cstheme="majorHAnsi"/>
          <w:sz w:val="28"/>
          <w:szCs w:val="28"/>
          <w:lang w:val="sv-SE"/>
        </w:rPr>
        <w:t>.”</w:t>
      </w:r>
    </w:p>
    <w:p w:rsidR="002E3EAF" w:rsidRPr="002E3EAF" w:rsidRDefault="002E3EAF" w:rsidP="00C3239C">
      <w:pPr>
        <w:pStyle w:val="NormalWeb"/>
        <w:shd w:val="clear" w:color="auto" w:fill="FFFFFF"/>
        <w:spacing w:before="80" w:beforeAutospacing="0" w:after="0" w:afterAutospacing="0"/>
        <w:ind w:firstLine="720"/>
        <w:jc w:val="both"/>
        <w:rPr>
          <w:rFonts w:asciiTheme="majorHAnsi" w:hAnsiTheme="majorHAnsi" w:cstheme="majorHAnsi"/>
          <w:b/>
          <w:sz w:val="28"/>
          <w:szCs w:val="28"/>
          <w:lang w:val="vi-VN" w:eastAsia="vi-VN"/>
        </w:rPr>
      </w:pPr>
      <w:r w:rsidRPr="002E3EAF">
        <w:rPr>
          <w:rFonts w:asciiTheme="majorHAnsi" w:hAnsiTheme="majorHAnsi" w:cstheme="majorHAnsi"/>
          <w:b/>
          <w:sz w:val="28"/>
          <w:szCs w:val="28"/>
          <w:lang w:val="vi-VN" w:eastAsia="vi-VN"/>
        </w:rPr>
        <w:t>Điều 2. Hiệu lực thi hành</w:t>
      </w:r>
    </w:p>
    <w:p w:rsidR="008E3CC3" w:rsidRPr="00454B7F" w:rsidRDefault="002E3EAF" w:rsidP="00454B7F">
      <w:pPr>
        <w:shd w:val="clear" w:color="auto" w:fill="FFFFFF"/>
        <w:spacing w:before="80" w:after="0" w:line="240" w:lineRule="auto"/>
        <w:ind w:firstLine="720"/>
        <w:jc w:val="both"/>
        <w:rPr>
          <w:rFonts w:asciiTheme="majorHAnsi" w:hAnsiTheme="majorHAnsi" w:cstheme="majorHAnsi"/>
          <w:sz w:val="28"/>
          <w:szCs w:val="28"/>
          <w:lang w:eastAsia="vi-VN"/>
        </w:rPr>
      </w:pPr>
      <w:r w:rsidRPr="002E3EAF">
        <w:rPr>
          <w:rFonts w:asciiTheme="majorHAnsi" w:hAnsiTheme="majorHAnsi" w:cstheme="majorHAnsi"/>
          <w:sz w:val="28"/>
          <w:szCs w:val="28"/>
          <w:lang w:eastAsia="vi-VN"/>
        </w:rPr>
        <w:t xml:space="preserve">Thông tư này có hiệu lực thi hành từ  ngày </w:t>
      </w:r>
      <w:r w:rsidR="001A2715" w:rsidRPr="00984C49">
        <w:rPr>
          <w:rFonts w:asciiTheme="majorHAnsi" w:hAnsiTheme="majorHAnsi" w:cstheme="majorHAnsi"/>
          <w:sz w:val="28"/>
          <w:szCs w:val="28"/>
          <w:lang w:val="sv-SE" w:eastAsia="vi-VN"/>
        </w:rPr>
        <w:t>30</w:t>
      </w:r>
      <w:r w:rsidRPr="002E3EAF">
        <w:rPr>
          <w:rFonts w:asciiTheme="majorHAnsi" w:hAnsiTheme="majorHAnsi" w:cstheme="majorHAnsi"/>
          <w:sz w:val="28"/>
          <w:szCs w:val="28"/>
          <w:lang w:eastAsia="vi-VN"/>
        </w:rPr>
        <w:t xml:space="preserve"> tháng 5 năm 2020.</w:t>
      </w:r>
      <w:r w:rsidR="008B7596" w:rsidRPr="008B7596">
        <w:rPr>
          <w:rFonts w:asciiTheme="majorHAnsi" w:hAnsiTheme="majorHAnsi" w:cstheme="majorHAnsi"/>
          <w:sz w:val="28"/>
          <w:szCs w:val="28"/>
          <w:lang w:eastAsia="vi-VN"/>
        </w:rPr>
        <w:t xml:space="preserve"> Riêng đối với các nội dung quy định tại các khoản</w:t>
      </w:r>
      <w:r w:rsidR="005854C1">
        <w:rPr>
          <w:rFonts w:ascii="Times New Roman" w:hAnsi="Times New Roman"/>
          <w:sz w:val="28"/>
          <w:szCs w:val="28"/>
          <w:lang w:val="pt-BR"/>
        </w:rPr>
        <w:t xml:space="preserve"> 1, 2, 3, 5, 6 và </w:t>
      </w:r>
      <w:r w:rsidR="008E3CC3" w:rsidRPr="008E3CC3">
        <w:rPr>
          <w:rFonts w:ascii="Times New Roman" w:hAnsi="Times New Roman"/>
          <w:sz w:val="28"/>
          <w:szCs w:val="28"/>
          <w:lang w:val="pt-BR"/>
        </w:rPr>
        <w:t>7 Điều 1 Thông tư này được thực hiện từ năm tài chính 2019</w:t>
      </w:r>
      <w:r w:rsidR="005854C1">
        <w:rPr>
          <w:rFonts w:ascii="Times New Roman" w:hAnsi="Times New Roman"/>
          <w:sz w:val="28"/>
          <w:szCs w:val="28"/>
          <w:lang w:val="pt-BR"/>
        </w:rPr>
        <w:t xml:space="preserve"> theo quy định tạ</w:t>
      </w:r>
      <w:r w:rsidR="00B13E80">
        <w:rPr>
          <w:rFonts w:ascii="Times New Roman" w:hAnsi="Times New Roman"/>
          <w:sz w:val="28"/>
          <w:szCs w:val="28"/>
          <w:lang w:val="pt-BR"/>
        </w:rPr>
        <w:t xml:space="preserve">i </w:t>
      </w:r>
      <w:r w:rsidR="005854C1">
        <w:rPr>
          <w:rFonts w:ascii="Times New Roman" w:hAnsi="Times New Roman"/>
          <w:sz w:val="28"/>
          <w:szCs w:val="28"/>
          <w:lang w:val="pt-BR"/>
        </w:rPr>
        <w:t>Quyết định số 38/2019/QĐ-TTg</w:t>
      </w:r>
      <w:r w:rsidR="00996CA7">
        <w:rPr>
          <w:rFonts w:ascii="Times New Roman" w:hAnsi="Times New Roman"/>
          <w:sz w:val="28"/>
          <w:szCs w:val="28"/>
          <w:lang w:val="pt-BR"/>
        </w:rPr>
        <w:t xml:space="preserve">; nội dung và mức chi chi phí quản lý BH TNLĐ, BNN tại khoản 10 Điều 1 Thông tư này </w:t>
      </w:r>
      <w:r w:rsidR="00B13E80">
        <w:rPr>
          <w:rFonts w:ascii="Times New Roman" w:hAnsi="Times New Roman"/>
          <w:sz w:val="28"/>
          <w:szCs w:val="28"/>
          <w:lang w:val="pt-BR"/>
        </w:rPr>
        <w:t xml:space="preserve">được </w:t>
      </w:r>
      <w:r w:rsidR="00996CA7">
        <w:rPr>
          <w:rFonts w:ascii="Times New Roman" w:hAnsi="Times New Roman"/>
          <w:sz w:val="28"/>
          <w:szCs w:val="28"/>
          <w:lang w:val="pt-BR"/>
        </w:rPr>
        <w:t>thực hiện từ năm tài chính 2020</w:t>
      </w:r>
      <w:r w:rsidR="008E3CC3" w:rsidRPr="008E3CC3">
        <w:rPr>
          <w:rFonts w:ascii="Times New Roman" w:hAnsi="Times New Roman"/>
          <w:sz w:val="28"/>
          <w:szCs w:val="28"/>
          <w:lang w:val="pt-BR"/>
        </w:rPr>
        <w:t xml:space="preserve">.  </w:t>
      </w:r>
    </w:p>
    <w:p w:rsidR="002E3EAF" w:rsidRPr="002E3EAF" w:rsidRDefault="002E3EAF" w:rsidP="00C3239C">
      <w:pPr>
        <w:spacing w:before="80" w:after="0" w:line="240" w:lineRule="auto"/>
        <w:ind w:firstLine="720"/>
        <w:jc w:val="both"/>
        <w:rPr>
          <w:rFonts w:asciiTheme="majorHAnsi" w:hAnsiTheme="majorHAnsi" w:cstheme="majorHAnsi"/>
          <w:b/>
          <w:sz w:val="28"/>
          <w:szCs w:val="28"/>
        </w:rPr>
      </w:pPr>
      <w:r w:rsidRPr="002E3EAF">
        <w:rPr>
          <w:rFonts w:asciiTheme="majorHAnsi" w:hAnsiTheme="majorHAnsi" w:cstheme="majorHAnsi"/>
          <w:b/>
          <w:snapToGrid w:val="0"/>
          <w:sz w:val="28"/>
          <w:szCs w:val="28"/>
        </w:rPr>
        <w:t xml:space="preserve">Điều 3. </w:t>
      </w:r>
      <w:r w:rsidRPr="002E3EAF">
        <w:rPr>
          <w:rFonts w:asciiTheme="majorHAnsi" w:hAnsiTheme="majorHAnsi" w:cstheme="majorHAnsi"/>
          <w:b/>
          <w:sz w:val="28"/>
          <w:szCs w:val="28"/>
        </w:rPr>
        <w:t>Tổ chức thực hiện</w:t>
      </w:r>
    </w:p>
    <w:p w:rsidR="002E3EAF" w:rsidRPr="002E3EAF" w:rsidRDefault="002E3EAF" w:rsidP="00C3239C">
      <w:pPr>
        <w:spacing w:before="80" w:after="0" w:line="240" w:lineRule="auto"/>
        <w:ind w:firstLine="720"/>
        <w:jc w:val="both"/>
        <w:rPr>
          <w:rFonts w:asciiTheme="majorHAnsi" w:hAnsiTheme="majorHAnsi" w:cstheme="majorHAnsi"/>
          <w:sz w:val="28"/>
          <w:szCs w:val="28"/>
        </w:rPr>
      </w:pPr>
      <w:r w:rsidRPr="002E3EAF">
        <w:rPr>
          <w:rFonts w:asciiTheme="majorHAnsi" w:hAnsiTheme="majorHAnsi" w:cstheme="majorHAnsi"/>
          <w:sz w:val="28"/>
          <w:szCs w:val="28"/>
        </w:rPr>
        <w:t>Cơ quan, đơn vị quy định tại Thông tư này và cơ quan, tổ chức, cá nhân có liên quan chịu trách nhiệm thực hiện Thông tư này.</w:t>
      </w:r>
    </w:p>
    <w:p w:rsidR="002E3EAF" w:rsidRPr="002E3EAF" w:rsidRDefault="002E3EAF" w:rsidP="00C3239C">
      <w:pPr>
        <w:spacing w:before="80" w:after="0" w:line="240" w:lineRule="auto"/>
        <w:ind w:firstLine="720"/>
        <w:jc w:val="both"/>
        <w:rPr>
          <w:rFonts w:asciiTheme="majorHAnsi" w:hAnsiTheme="majorHAnsi" w:cstheme="majorHAnsi"/>
          <w:sz w:val="28"/>
          <w:szCs w:val="28"/>
        </w:rPr>
      </w:pPr>
      <w:r w:rsidRPr="002E3EAF">
        <w:rPr>
          <w:rFonts w:asciiTheme="majorHAnsi" w:hAnsiTheme="majorHAnsi" w:cstheme="majorHAnsi"/>
          <w:sz w:val="28"/>
          <w:szCs w:val="28"/>
        </w:rPr>
        <w:t>Trong quá trình thực hiện có vướng mắc, đề nghị phản ánh kịp thời về Bộ Tài chính để xem xét, giải quyết./.</w:t>
      </w:r>
    </w:p>
    <w:p w:rsidR="002E3EAF" w:rsidRPr="002E3EAF" w:rsidRDefault="002E3EAF" w:rsidP="00C3239C">
      <w:pPr>
        <w:spacing w:before="80" w:after="0" w:line="240" w:lineRule="auto"/>
        <w:ind w:firstLine="720"/>
        <w:jc w:val="both"/>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062"/>
        <w:gridCol w:w="3561"/>
      </w:tblGrid>
      <w:tr w:rsidR="002E3EAF" w:rsidRPr="002E3EAF" w:rsidTr="00B90905">
        <w:tc>
          <w:tcPr>
            <w:tcW w:w="6062" w:type="dxa"/>
          </w:tcPr>
          <w:p w:rsidR="002E3EAF" w:rsidRPr="002E3EAF" w:rsidRDefault="002E3EAF" w:rsidP="002E3EAF">
            <w:pPr>
              <w:spacing w:before="120"/>
              <w:jc w:val="both"/>
              <w:rPr>
                <w:rFonts w:asciiTheme="majorHAnsi" w:hAnsiTheme="majorHAnsi" w:cstheme="majorHAnsi"/>
                <w:b/>
              </w:rPr>
            </w:pPr>
            <w:r w:rsidRPr="002E3EAF">
              <w:rPr>
                <w:rFonts w:asciiTheme="majorHAnsi" w:hAnsiTheme="majorHAnsi" w:cstheme="majorHAnsi"/>
                <w:b/>
                <w:i/>
                <w:sz w:val="26"/>
                <w:szCs w:val="26"/>
              </w:rPr>
              <w:t>Nơi nhận:</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Thủ tướng, các Phó Thủ tướng Chính phủ;</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Các Bộ, cơ quan ngang Bộ, cơ quan thuộc CP;</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Uỷ ban nhân dân các tỉnh, thành phố trực thuộc TW;</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Văn phòng Trung ương và các Ban của Đảng;</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Văn phòng Tổng Bí thư;</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Văn phòng Chủ tịch nước;</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Hội đồng Dân tộc và các Uỷ ban của Quốc hội;</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Văn phòng Quốc hội;</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Tòa án nhân dân tối cao;</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Viện Kiểm sát nhân dân tối cao;</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Uỷ ban Giám sát tài chính Quốc gia;</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Kiểm toán Nhà nước;</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Uỷ ban Trung ương Mặt trận Tổ quốc Việt Nam;</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Cơ quan Trung ương của các đoàn thể;</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BHXH Bộ Quốc phòng; BHXH Bộ Công an;</w:t>
            </w:r>
          </w:p>
          <w:p w:rsidR="002E3EAF" w:rsidRPr="002E3EAF" w:rsidRDefault="002E3EAF" w:rsidP="002E3EAF">
            <w:pPr>
              <w:widowControl w:val="0"/>
              <w:rPr>
                <w:rFonts w:asciiTheme="majorHAnsi" w:hAnsiTheme="majorHAnsi" w:cstheme="majorHAnsi"/>
                <w:sz w:val="22"/>
                <w:szCs w:val="22"/>
              </w:rPr>
            </w:pPr>
            <w:r w:rsidRPr="002E3EAF">
              <w:rPr>
                <w:rFonts w:asciiTheme="majorHAnsi" w:hAnsiTheme="majorHAnsi" w:cstheme="majorHAnsi"/>
                <w:sz w:val="22"/>
                <w:szCs w:val="22"/>
              </w:rPr>
              <w:t>- Sở Tài chính, Sở LĐTB</w:t>
            </w:r>
            <w:r w:rsidR="004115BF" w:rsidRPr="00822C41">
              <w:rPr>
                <w:rFonts w:asciiTheme="majorHAnsi" w:hAnsiTheme="majorHAnsi" w:cstheme="majorHAnsi"/>
                <w:sz w:val="22"/>
                <w:szCs w:val="22"/>
              </w:rPr>
              <w:t>X</w:t>
            </w:r>
            <w:r w:rsidRPr="002E3EAF">
              <w:rPr>
                <w:rFonts w:asciiTheme="majorHAnsi" w:hAnsiTheme="majorHAnsi" w:cstheme="majorHAnsi"/>
                <w:sz w:val="22"/>
                <w:szCs w:val="22"/>
              </w:rPr>
              <w:t>H; BHXH, trung tâm dịch vụ việc làm</w:t>
            </w:r>
          </w:p>
          <w:p w:rsidR="002E3EAF" w:rsidRPr="002E3EAF" w:rsidRDefault="002E3EAF" w:rsidP="002E3EAF">
            <w:pPr>
              <w:widowControl w:val="0"/>
              <w:rPr>
                <w:rFonts w:asciiTheme="majorHAnsi" w:hAnsiTheme="majorHAnsi" w:cstheme="majorHAnsi"/>
                <w:sz w:val="22"/>
                <w:szCs w:val="22"/>
              </w:rPr>
            </w:pPr>
            <w:r w:rsidRPr="002E3EAF">
              <w:rPr>
                <w:rFonts w:asciiTheme="majorHAnsi" w:hAnsiTheme="majorHAnsi" w:cstheme="majorHAnsi"/>
                <w:sz w:val="22"/>
                <w:szCs w:val="22"/>
              </w:rPr>
              <w:t xml:space="preserve">  các tỉnh, thành phố trực thuộc TW; </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Cục Kiểm tra văn bản QPPL (Bộ Tư pháp);</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Cổng Thông tin điện tử Chính phủ;</w:t>
            </w:r>
          </w:p>
          <w:p w:rsidR="002E3EAF" w:rsidRPr="002E3EAF" w:rsidRDefault="002E3EAF" w:rsidP="002E3EAF">
            <w:pPr>
              <w:jc w:val="both"/>
              <w:rPr>
                <w:rFonts w:asciiTheme="majorHAnsi" w:hAnsiTheme="majorHAnsi" w:cstheme="majorHAnsi"/>
                <w:sz w:val="22"/>
                <w:szCs w:val="22"/>
              </w:rPr>
            </w:pPr>
            <w:r w:rsidRPr="002E3EAF">
              <w:rPr>
                <w:rFonts w:asciiTheme="majorHAnsi" w:hAnsiTheme="majorHAnsi" w:cstheme="majorHAnsi"/>
                <w:sz w:val="22"/>
                <w:szCs w:val="22"/>
              </w:rPr>
              <w:t>- Cổng Thông tin điện tử Bộ Tài chính;</w:t>
            </w:r>
          </w:p>
          <w:p w:rsidR="002E3EAF" w:rsidRPr="00BC30B9" w:rsidRDefault="002E3EAF" w:rsidP="002E3EAF">
            <w:pPr>
              <w:jc w:val="both"/>
              <w:rPr>
                <w:rFonts w:asciiTheme="majorHAnsi" w:hAnsiTheme="majorHAnsi" w:cstheme="majorHAnsi"/>
                <w:sz w:val="22"/>
                <w:szCs w:val="22"/>
              </w:rPr>
            </w:pPr>
            <w:r w:rsidRPr="00BC30B9">
              <w:rPr>
                <w:rFonts w:asciiTheme="majorHAnsi" w:hAnsiTheme="majorHAnsi" w:cstheme="majorHAnsi"/>
                <w:sz w:val="22"/>
                <w:szCs w:val="22"/>
              </w:rPr>
              <w:t>- Các đơn vị thuộc Bộ Tài chính;</w:t>
            </w:r>
          </w:p>
          <w:p w:rsidR="002E3EAF" w:rsidRPr="002E3EAF" w:rsidRDefault="002E3EAF" w:rsidP="002E3EAF">
            <w:pPr>
              <w:jc w:val="both"/>
              <w:rPr>
                <w:rFonts w:asciiTheme="majorHAnsi" w:hAnsiTheme="majorHAnsi" w:cstheme="majorHAnsi"/>
                <w:sz w:val="22"/>
                <w:szCs w:val="22"/>
                <w:lang w:val="nl-NL"/>
              </w:rPr>
            </w:pPr>
            <w:r w:rsidRPr="002E3EAF">
              <w:rPr>
                <w:rFonts w:asciiTheme="majorHAnsi" w:hAnsiTheme="majorHAnsi" w:cstheme="majorHAnsi"/>
                <w:sz w:val="22"/>
                <w:szCs w:val="22"/>
                <w:lang w:val="nl-NL"/>
              </w:rPr>
              <w:t>- Lưu: VT, HCSN (300b).</w:t>
            </w:r>
          </w:p>
          <w:p w:rsidR="002E3EAF" w:rsidRPr="002E3EAF" w:rsidRDefault="002E3EAF" w:rsidP="002E3EAF">
            <w:pPr>
              <w:spacing w:before="120"/>
              <w:ind w:left="709"/>
              <w:jc w:val="both"/>
              <w:rPr>
                <w:rFonts w:asciiTheme="majorHAnsi" w:hAnsiTheme="majorHAnsi" w:cstheme="majorHAnsi"/>
                <w:lang w:val="nl-NL"/>
              </w:rPr>
            </w:pPr>
          </w:p>
          <w:p w:rsidR="002E3EAF" w:rsidRPr="002E3EAF" w:rsidRDefault="002E3EAF" w:rsidP="002E3EAF">
            <w:pPr>
              <w:spacing w:before="120"/>
              <w:ind w:left="709"/>
              <w:jc w:val="both"/>
              <w:rPr>
                <w:rFonts w:asciiTheme="majorHAnsi" w:hAnsiTheme="majorHAnsi" w:cstheme="majorHAnsi"/>
                <w:sz w:val="22"/>
                <w:szCs w:val="22"/>
                <w:lang w:val="nl-NL"/>
              </w:rPr>
            </w:pPr>
          </w:p>
        </w:tc>
        <w:tc>
          <w:tcPr>
            <w:tcW w:w="3561" w:type="dxa"/>
          </w:tcPr>
          <w:p w:rsidR="002E3EAF" w:rsidRPr="002E3EAF" w:rsidRDefault="002E3EAF" w:rsidP="002E3EAF">
            <w:pPr>
              <w:spacing w:before="120"/>
              <w:jc w:val="center"/>
              <w:rPr>
                <w:rFonts w:asciiTheme="majorHAnsi" w:hAnsiTheme="majorHAnsi" w:cstheme="majorHAnsi"/>
                <w:b/>
                <w:snapToGrid w:val="0"/>
                <w:sz w:val="26"/>
                <w:szCs w:val="26"/>
                <w:lang w:val="nl-NL"/>
              </w:rPr>
            </w:pPr>
            <w:r w:rsidRPr="002E3EAF">
              <w:rPr>
                <w:rFonts w:asciiTheme="majorHAnsi" w:hAnsiTheme="majorHAnsi" w:cstheme="majorHAnsi"/>
                <w:b/>
                <w:sz w:val="26"/>
                <w:szCs w:val="26"/>
                <w:lang w:val="nl-NL"/>
              </w:rPr>
              <w:lastRenderedPageBreak/>
              <w:t>KT. BỘ TRƯỞNG</w:t>
            </w:r>
          </w:p>
          <w:p w:rsidR="002E3EAF" w:rsidRPr="002E3EAF" w:rsidRDefault="002E3EAF" w:rsidP="002E3EAF">
            <w:pPr>
              <w:spacing w:before="120"/>
              <w:jc w:val="center"/>
              <w:rPr>
                <w:rFonts w:asciiTheme="majorHAnsi" w:hAnsiTheme="majorHAnsi" w:cstheme="majorHAnsi"/>
                <w:b/>
                <w:snapToGrid w:val="0"/>
                <w:sz w:val="26"/>
                <w:szCs w:val="26"/>
                <w:lang w:val="nl-NL"/>
              </w:rPr>
            </w:pPr>
            <w:r w:rsidRPr="002E3EAF">
              <w:rPr>
                <w:rFonts w:asciiTheme="majorHAnsi" w:hAnsiTheme="majorHAnsi" w:cstheme="majorHAnsi"/>
                <w:b/>
                <w:sz w:val="26"/>
                <w:szCs w:val="26"/>
                <w:lang w:val="nl-NL"/>
              </w:rPr>
              <w:t>THỨ TRƯỞNG</w:t>
            </w:r>
          </w:p>
          <w:p w:rsidR="002E3EAF" w:rsidRPr="002E3EAF" w:rsidRDefault="002E3EAF" w:rsidP="002E3EAF">
            <w:pPr>
              <w:spacing w:before="120"/>
              <w:jc w:val="center"/>
              <w:rPr>
                <w:rFonts w:asciiTheme="majorHAnsi" w:hAnsiTheme="majorHAnsi" w:cstheme="majorHAnsi"/>
                <w:b/>
                <w:sz w:val="28"/>
                <w:szCs w:val="28"/>
                <w:lang w:val="nl-NL"/>
              </w:rPr>
            </w:pPr>
          </w:p>
          <w:p w:rsidR="002E3EAF" w:rsidRPr="002E3EAF" w:rsidRDefault="002E3EAF" w:rsidP="002E3EAF">
            <w:pPr>
              <w:spacing w:before="120"/>
              <w:jc w:val="center"/>
              <w:rPr>
                <w:rFonts w:asciiTheme="majorHAnsi" w:hAnsiTheme="majorHAnsi" w:cstheme="majorHAnsi"/>
                <w:b/>
                <w:sz w:val="28"/>
                <w:szCs w:val="28"/>
                <w:lang w:val="nl-NL"/>
              </w:rPr>
            </w:pPr>
          </w:p>
          <w:p w:rsidR="002E3EAF" w:rsidRPr="002E3EAF" w:rsidRDefault="002E3EAF" w:rsidP="002E3EAF">
            <w:pPr>
              <w:spacing w:before="120"/>
              <w:jc w:val="center"/>
              <w:rPr>
                <w:rFonts w:asciiTheme="majorHAnsi" w:hAnsiTheme="majorHAnsi" w:cstheme="majorHAnsi"/>
                <w:b/>
                <w:sz w:val="28"/>
                <w:szCs w:val="28"/>
                <w:lang w:val="nl-NL"/>
              </w:rPr>
            </w:pPr>
          </w:p>
          <w:p w:rsidR="002E3EAF" w:rsidRPr="002E3EAF" w:rsidRDefault="002E3EAF" w:rsidP="002E3EAF">
            <w:pPr>
              <w:spacing w:before="120"/>
              <w:jc w:val="center"/>
              <w:rPr>
                <w:rFonts w:asciiTheme="majorHAnsi" w:hAnsiTheme="majorHAnsi" w:cstheme="majorHAnsi"/>
                <w:b/>
                <w:sz w:val="28"/>
                <w:szCs w:val="28"/>
                <w:lang w:val="nl-NL"/>
              </w:rPr>
            </w:pPr>
          </w:p>
          <w:p w:rsidR="002E3EAF" w:rsidRPr="002E3EAF" w:rsidRDefault="002E3EAF" w:rsidP="002E3EAF">
            <w:pPr>
              <w:spacing w:before="120"/>
              <w:jc w:val="center"/>
              <w:rPr>
                <w:rFonts w:asciiTheme="majorHAnsi" w:hAnsiTheme="majorHAnsi" w:cstheme="majorHAnsi"/>
                <w:sz w:val="28"/>
                <w:szCs w:val="28"/>
                <w:lang w:val="nl-NL"/>
              </w:rPr>
            </w:pPr>
            <w:r w:rsidRPr="002E3EAF">
              <w:rPr>
                <w:rFonts w:asciiTheme="majorHAnsi" w:hAnsiTheme="majorHAnsi" w:cstheme="majorHAnsi"/>
                <w:b/>
                <w:sz w:val="28"/>
                <w:szCs w:val="28"/>
                <w:lang w:val="nl-NL"/>
              </w:rPr>
              <w:t xml:space="preserve">   </w:t>
            </w:r>
            <w:r w:rsidR="005904B3">
              <w:rPr>
                <w:rFonts w:asciiTheme="majorHAnsi" w:hAnsiTheme="majorHAnsi" w:cstheme="majorHAnsi"/>
                <w:b/>
                <w:sz w:val="28"/>
                <w:szCs w:val="28"/>
                <w:lang w:val="nl-NL"/>
              </w:rPr>
              <w:t>Đỗ Hoàng Anh Tuấn</w:t>
            </w:r>
          </w:p>
        </w:tc>
      </w:tr>
    </w:tbl>
    <w:p w:rsidR="002E3EAF" w:rsidRPr="002E3EAF" w:rsidRDefault="002E3EAF" w:rsidP="002E3EAF">
      <w:pPr>
        <w:spacing w:before="120" w:after="0" w:line="240" w:lineRule="auto"/>
        <w:ind w:firstLine="720"/>
        <w:jc w:val="both"/>
        <w:rPr>
          <w:rFonts w:asciiTheme="majorHAnsi" w:hAnsiTheme="majorHAnsi" w:cstheme="majorHAnsi"/>
          <w:sz w:val="28"/>
          <w:szCs w:val="28"/>
          <w:lang w:val="nl-NL"/>
        </w:rPr>
      </w:pPr>
    </w:p>
    <w:p w:rsidR="002E3EAF" w:rsidRPr="002E3EAF" w:rsidRDefault="002E3EAF" w:rsidP="002E3EAF">
      <w:pPr>
        <w:spacing w:before="120" w:after="0" w:line="240" w:lineRule="auto"/>
        <w:ind w:firstLine="720"/>
        <w:jc w:val="both"/>
        <w:rPr>
          <w:rFonts w:asciiTheme="majorHAnsi" w:hAnsiTheme="majorHAnsi" w:cstheme="majorHAnsi"/>
          <w:sz w:val="28"/>
          <w:szCs w:val="28"/>
          <w:lang w:val="nl-NL"/>
        </w:rPr>
      </w:pPr>
    </w:p>
    <w:p w:rsidR="002E3EAF" w:rsidRPr="002E3EAF" w:rsidRDefault="002E3EAF" w:rsidP="002E3EAF">
      <w:pPr>
        <w:spacing w:before="120" w:after="0" w:line="240" w:lineRule="auto"/>
        <w:ind w:firstLine="720"/>
        <w:jc w:val="both"/>
        <w:rPr>
          <w:rFonts w:asciiTheme="majorHAnsi" w:hAnsiTheme="majorHAnsi" w:cstheme="majorHAnsi"/>
          <w:sz w:val="28"/>
          <w:szCs w:val="28"/>
          <w:lang w:val="nl-NL"/>
        </w:rPr>
      </w:pPr>
    </w:p>
    <w:p w:rsidR="002E3EAF" w:rsidRPr="002E3EAF" w:rsidRDefault="002E3EAF" w:rsidP="002E3EAF">
      <w:pPr>
        <w:pStyle w:val="Heading3"/>
        <w:spacing w:before="120" w:after="0"/>
        <w:jc w:val="center"/>
        <w:rPr>
          <w:rFonts w:asciiTheme="majorHAnsi" w:hAnsiTheme="majorHAnsi" w:cstheme="majorHAnsi"/>
          <w:sz w:val="28"/>
          <w:szCs w:val="28"/>
          <w:lang w:val="nl-NL"/>
        </w:rPr>
      </w:pPr>
      <w:r w:rsidRPr="002E3EAF">
        <w:rPr>
          <w:rFonts w:asciiTheme="majorHAnsi" w:hAnsiTheme="majorHAnsi" w:cstheme="majorHAnsi"/>
          <w:sz w:val="28"/>
          <w:szCs w:val="28"/>
          <w:lang w:val="nl-NL"/>
        </w:rPr>
        <w:t xml:space="preserve"> </w:t>
      </w:r>
    </w:p>
    <w:p w:rsidR="002E3EAF" w:rsidRPr="002E3EAF" w:rsidRDefault="002E3EAF" w:rsidP="002E3EAF">
      <w:pPr>
        <w:spacing w:before="120" w:after="0" w:line="240" w:lineRule="auto"/>
        <w:ind w:firstLine="720"/>
        <w:rPr>
          <w:rFonts w:asciiTheme="majorHAnsi" w:hAnsiTheme="majorHAnsi" w:cstheme="majorHAnsi"/>
          <w:sz w:val="28"/>
          <w:szCs w:val="28"/>
          <w:lang w:val="nl-NL"/>
        </w:rPr>
      </w:pPr>
    </w:p>
    <w:p w:rsidR="00CB2C4F" w:rsidRPr="002E3EAF" w:rsidRDefault="00CB2C4F" w:rsidP="002E3EAF">
      <w:pPr>
        <w:spacing w:before="120" w:after="0" w:line="240" w:lineRule="auto"/>
        <w:rPr>
          <w:rFonts w:asciiTheme="majorHAnsi" w:hAnsiTheme="majorHAnsi" w:cstheme="majorHAnsi"/>
          <w:lang w:val="nl-NL"/>
        </w:rPr>
      </w:pPr>
    </w:p>
    <w:sectPr w:rsidR="00CB2C4F" w:rsidRPr="002E3EAF" w:rsidSect="00F967F8">
      <w:headerReference w:type="default" r:id="rId8"/>
      <w:footerReference w:type="even" r:id="rId9"/>
      <w:footerReference w:type="default" r:id="rId10"/>
      <w:pgSz w:w="12242" w:h="15842" w:code="1"/>
      <w:pgMar w:top="1134" w:right="1134" w:bottom="1134" w:left="170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4F" w:rsidRDefault="000C744F" w:rsidP="00ED49BB">
      <w:pPr>
        <w:spacing w:after="0" w:line="240" w:lineRule="auto"/>
      </w:pPr>
      <w:r>
        <w:separator/>
      </w:r>
    </w:p>
  </w:endnote>
  <w:endnote w:type="continuationSeparator" w:id="0">
    <w:p w:rsidR="000C744F" w:rsidRDefault="000C744F" w:rsidP="00ED4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4F" w:rsidRDefault="00D671B9" w:rsidP="00B90905">
    <w:pPr>
      <w:pStyle w:val="Footer"/>
      <w:framePr w:wrap="around" w:vAnchor="text" w:hAnchor="margin" w:xAlign="right" w:y="1"/>
      <w:rPr>
        <w:rStyle w:val="PageNumber"/>
      </w:rPr>
    </w:pPr>
    <w:r>
      <w:rPr>
        <w:rStyle w:val="PageNumber"/>
      </w:rPr>
      <w:fldChar w:fldCharType="begin"/>
    </w:r>
    <w:r w:rsidR="000C744F">
      <w:rPr>
        <w:rStyle w:val="PageNumber"/>
      </w:rPr>
      <w:instrText xml:space="preserve">PAGE  </w:instrText>
    </w:r>
    <w:r>
      <w:rPr>
        <w:rStyle w:val="PageNumber"/>
      </w:rPr>
      <w:fldChar w:fldCharType="end"/>
    </w:r>
  </w:p>
  <w:p w:rsidR="000C744F" w:rsidRDefault="000C744F" w:rsidP="00B909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4F" w:rsidRDefault="000C744F" w:rsidP="00B909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4F" w:rsidRDefault="000C744F" w:rsidP="00ED49BB">
      <w:pPr>
        <w:spacing w:after="0" w:line="240" w:lineRule="auto"/>
      </w:pPr>
      <w:r>
        <w:separator/>
      </w:r>
    </w:p>
  </w:footnote>
  <w:footnote w:type="continuationSeparator" w:id="0">
    <w:p w:rsidR="000C744F" w:rsidRDefault="000C744F" w:rsidP="00ED4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4F" w:rsidRDefault="000C744F">
    <w:pPr>
      <w:pStyle w:val="Header"/>
      <w:jc w:val="center"/>
    </w:pPr>
  </w:p>
  <w:p w:rsidR="000C744F" w:rsidRDefault="00D671B9">
    <w:pPr>
      <w:pStyle w:val="Header"/>
      <w:jc w:val="center"/>
    </w:pPr>
    <w:fldSimple w:instr=" PAGE   \* MERGEFORMAT ">
      <w:r w:rsidR="00984C49">
        <w:rPr>
          <w:noProof/>
        </w:rPr>
        <w:t>7</w:t>
      </w:r>
    </w:fldSimple>
  </w:p>
  <w:p w:rsidR="000C744F" w:rsidRDefault="000C744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8571A"/>
    <w:multiLevelType w:val="hybridMultilevel"/>
    <w:tmpl w:val="5E4AD490"/>
    <w:lvl w:ilvl="0" w:tplc="07FE1F3A">
      <w:start w:val="1"/>
      <w:numFmt w:val="decimal"/>
      <w:lvlText w:val="%1."/>
      <w:lvlJc w:val="left"/>
      <w:pPr>
        <w:ind w:left="7228"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E3EAF"/>
    <w:rsid w:val="00061E2F"/>
    <w:rsid w:val="000659C9"/>
    <w:rsid w:val="00066820"/>
    <w:rsid w:val="00067A86"/>
    <w:rsid w:val="00086EB7"/>
    <w:rsid w:val="000C744F"/>
    <w:rsid w:val="000E5989"/>
    <w:rsid w:val="000F0C8A"/>
    <w:rsid w:val="001006DB"/>
    <w:rsid w:val="00122999"/>
    <w:rsid w:val="00125BD1"/>
    <w:rsid w:val="00125FB0"/>
    <w:rsid w:val="001311D3"/>
    <w:rsid w:val="001773AE"/>
    <w:rsid w:val="00183493"/>
    <w:rsid w:val="001A2715"/>
    <w:rsid w:val="001C7D8F"/>
    <w:rsid w:val="0020050C"/>
    <w:rsid w:val="00236BBD"/>
    <w:rsid w:val="00264CA5"/>
    <w:rsid w:val="00283E4E"/>
    <w:rsid w:val="002E1CBD"/>
    <w:rsid w:val="002E33BA"/>
    <w:rsid w:val="002E3EAF"/>
    <w:rsid w:val="002F273F"/>
    <w:rsid w:val="002F3D7D"/>
    <w:rsid w:val="003409B6"/>
    <w:rsid w:val="00370925"/>
    <w:rsid w:val="00371A76"/>
    <w:rsid w:val="00374935"/>
    <w:rsid w:val="003769C3"/>
    <w:rsid w:val="003B440B"/>
    <w:rsid w:val="003D6741"/>
    <w:rsid w:val="003E078D"/>
    <w:rsid w:val="004115BF"/>
    <w:rsid w:val="004243AA"/>
    <w:rsid w:val="004268CB"/>
    <w:rsid w:val="00454B7F"/>
    <w:rsid w:val="00485938"/>
    <w:rsid w:val="00491440"/>
    <w:rsid w:val="004C0D08"/>
    <w:rsid w:val="004E16CA"/>
    <w:rsid w:val="004E3581"/>
    <w:rsid w:val="004E65DA"/>
    <w:rsid w:val="0055217D"/>
    <w:rsid w:val="00572227"/>
    <w:rsid w:val="00572FE3"/>
    <w:rsid w:val="00573E0E"/>
    <w:rsid w:val="005802D5"/>
    <w:rsid w:val="005854C1"/>
    <w:rsid w:val="005904B3"/>
    <w:rsid w:val="005A1F38"/>
    <w:rsid w:val="005B7305"/>
    <w:rsid w:val="005E4CC7"/>
    <w:rsid w:val="005F3F77"/>
    <w:rsid w:val="00617939"/>
    <w:rsid w:val="00630204"/>
    <w:rsid w:val="00631318"/>
    <w:rsid w:val="00645C14"/>
    <w:rsid w:val="00647852"/>
    <w:rsid w:val="00647EC6"/>
    <w:rsid w:val="0065362C"/>
    <w:rsid w:val="006C5177"/>
    <w:rsid w:val="006F6BE6"/>
    <w:rsid w:val="007234E6"/>
    <w:rsid w:val="00726F88"/>
    <w:rsid w:val="00763814"/>
    <w:rsid w:val="00787D9F"/>
    <w:rsid w:val="007C510A"/>
    <w:rsid w:val="007F2429"/>
    <w:rsid w:val="008064D4"/>
    <w:rsid w:val="00822C41"/>
    <w:rsid w:val="008336D7"/>
    <w:rsid w:val="00835FC3"/>
    <w:rsid w:val="00852B2A"/>
    <w:rsid w:val="008B7596"/>
    <w:rsid w:val="008D1700"/>
    <w:rsid w:val="008E3CC3"/>
    <w:rsid w:val="008F56D9"/>
    <w:rsid w:val="0090527E"/>
    <w:rsid w:val="00906978"/>
    <w:rsid w:val="00913FF9"/>
    <w:rsid w:val="00934D87"/>
    <w:rsid w:val="009374C8"/>
    <w:rsid w:val="00941E45"/>
    <w:rsid w:val="009520D6"/>
    <w:rsid w:val="009658F2"/>
    <w:rsid w:val="00970A30"/>
    <w:rsid w:val="00983150"/>
    <w:rsid w:val="00984C37"/>
    <w:rsid w:val="00984C49"/>
    <w:rsid w:val="00996CA7"/>
    <w:rsid w:val="009A3F8A"/>
    <w:rsid w:val="009C0FD0"/>
    <w:rsid w:val="009D0A66"/>
    <w:rsid w:val="009E00A1"/>
    <w:rsid w:val="009E4481"/>
    <w:rsid w:val="00A05B28"/>
    <w:rsid w:val="00A0783A"/>
    <w:rsid w:val="00A103FA"/>
    <w:rsid w:val="00A45ED9"/>
    <w:rsid w:val="00A6084D"/>
    <w:rsid w:val="00A73FC6"/>
    <w:rsid w:val="00AF2EDD"/>
    <w:rsid w:val="00AF3B5A"/>
    <w:rsid w:val="00B13E80"/>
    <w:rsid w:val="00B344AE"/>
    <w:rsid w:val="00B67F2F"/>
    <w:rsid w:val="00B706AD"/>
    <w:rsid w:val="00B863C6"/>
    <w:rsid w:val="00B90905"/>
    <w:rsid w:val="00BB7409"/>
    <w:rsid w:val="00BC30B9"/>
    <w:rsid w:val="00BD7381"/>
    <w:rsid w:val="00BE3C6E"/>
    <w:rsid w:val="00C3239C"/>
    <w:rsid w:val="00C341FE"/>
    <w:rsid w:val="00C4627A"/>
    <w:rsid w:val="00CA0672"/>
    <w:rsid w:val="00CB2C4F"/>
    <w:rsid w:val="00CC100E"/>
    <w:rsid w:val="00CD1D77"/>
    <w:rsid w:val="00D40B26"/>
    <w:rsid w:val="00D45524"/>
    <w:rsid w:val="00D671B9"/>
    <w:rsid w:val="00D70435"/>
    <w:rsid w:val="00D82F3B"/>
    <w:rsid w:val="00DD4A0E"/>
    <w:rsid w:val="00DF1B88"/>
    <w:rsid w:val="00DF579A"/>
    <w:rsid w:val="00E20980"/>
    <w:rsid w:val="00E23092"/>
    <w:rsid w:val="00E46A6E"/>
    <w:rsid w:val="00E64823"/>
    <w:rsid w:val="00E7245F"/>
    <w:rsid w:val="00E83AA7"/>
    <w:rsid w:val="00E84007"/>
    <w:rsid w:val="00EB1217"/>
    <w:rsid w:val="00EC10E7"/>
    <w:rsid w:val="00EC52FA"/>
    <w:rsid w:val="00ED49BB"/>
    <w:rsid w:val="00ED56A9"/>
    <w:rsid w:val="00F039B5"/>
    <w:rsid w:val="00F14A19"/>
    <w:rsid w:val="00F7303D"/>
    <w:rsid w:val="00F7770B"/>
    <w:rsid w:val="00F8389C"/>
    <w:rsid w:val="00F85600"/>
    <w:rsid w:val="00F869E8"/>
    <w:rsid w:val="00F967F8"/>
    <w:rsid w:val="00FD17B7"/>
    <w:rsid w:val="00FE569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4F"/>
  </w:style>
  <w:style w:type="paragraph" w:styleId="Heading1">
    <w:name w:val="heading 1"/>
    <w:basedOn w:val="Normal"/>
    <w:next w:val="Normal"/>
    <w:link w:val="Heading1Char"/>
    <w:qFormat/>
    <w:rsid w:val="002E3EAF"/>
    <w:pPr>
      <w:keepNext/>
      <w:spacing w:before="40" w:after="40" w:line="240" w:lineRule="auto"/>
      <w:jc w:val="center"/>
      <w:outlineLvl w:val="0"/>
    </w:pPr>
    <w:rPr>
      <w:rFonts w:ascii=".VnTimeH" w:eastAsia="Times New Roman" w:hAnsi=".VnTimeH" w:cs="Times New Roman"/>
      <w:b/>
      <w:bCs/>
      <w:sz w:val="28"/>
      <w:szCs w:val="24"/>
      <w:lang w:val="en-US"/>
    </w:rPr>
  </w:style>
  <w:style w:type="paragraph" w:styleId="Heading3">
    <w:name w:val="heading 3"/>
    <w:basedOn w:val="Normal"/>
    <w:next w:val="Normal"/>
    <w:link w:val="Heading3Char"/>
    <w:unhideWhenUsed/>
    <w:qFormat/>
    <w:rsid w:val="002E3EAF"/>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EAF"/>
    <w:rPr>
      <w:rFonts w:ascii=".VnTimeH" w:eastAsia="Times New Roman" w:hAnsi=".VnTimeH" w:cs="Times New Roman"/>
      <w:b/>
      <w:bCs/>
      <w:sz w:val="28"/>
      <w:szCs w:val="24"/>
      <w:lang w:val="en-US"/>
    </w:rPr>
  </w:style>
  <w:style w:type="character" w:customStyle="1" w:styleId="Heading3Char">
    <w:name w:val="Heading 3 Char"/>
    <w:basedOn w:val="DefaultParagraphFont"/>
    <w:link w:val="Heading3"/>
    <w:rsid w:val="002E3EAF"/>
    <w:rPr>
      <w:rFonts w:ascii="Cambria" w:eastAsia="Times New Roman" w:hAnsi="Cambria" w:cs="Times New Roman"/>
      <w:b/>
      <w:bCs/>
      <w:sz w:val="26"/>
      <w:szCs w:val="26"/>
      <w:lang w:val="en-US"/>
    </w:rPr>
  </w:style>
  <w:style w:type="paragraph" w:styleId="Footer">
    <w:name w:val="footer"/>
    <w:basedOn w:val="Normal"/>
    <w:link w:val="FooterChar"/>
    <w:uiPriority w:val="99"/>
    <w:rsid w:val="002E3EAF"/>
    <w:pPr>
      <w:tabs>
        <w:tab w:val="center" w:pos="4320"/>
        <w:tab w:val="right" w:pos="8640"/>
      </w:tabs>
      <w:spacing w:after="0" w:line="240" w:lineRule="auto"/>
    </w:pPr>
    <w:rPr>
      <w:rFonts w:ascii=".VnTime" w:eastAsia="Times New Roman" w:hAnsi=".VnTime" w:cs="Times New Roman"/>
      <w:sz w:val="28"/>
      <w:szCs w:val="24"/>
      <w:lang w:val="en-US"/>
    </w:rPr>
  </w:style>
  <w:style w:type="character" w:customStyle="1" w:styleId="FooterChar">
    <w:name w:val="Footer Char"/>
    <w:basedOn w:val="DefaultParagraphFont"/>
    <w:link w:val="Footer"/>
    <w:uiPriority w:val="99"/>
    <w:rsid w:val="002E3EAF"/>
    <w:rPr>
      <w:rFonts w:ascii=".VnTime" w:eastAsia="Times New Roman" w:hAnsi=".VnTime" w:cs="Times New Roman"/>
      <w:sz w:val="28"/>
      <w:szCs w:val="24"/>
      <w:lang w:val="en-US"/>
    </w:rPr>
  </w:style>
  <w:style w:type="table" w:styleId="TableGrid">
    <w:name w:val="Table Grid"/>
    <w:basedOn w:val="TableNormal"/>
    <w:rsid w:val="002E3EA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E3EAF"/>
  </w:style>
  <w:style w:type="paragraph" w:styleId="NormalWeb">
    <w:name w:val="Normal (Web)"/>
    <w:basedOn w:val="Normal"/>
    <w:uiPriority w:val="99"/>
    <w:rsid w:val="002E3E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2E3EA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2E3EAF"/>
    <w:rPr>
      <w:rFonts w:ascii="Times New Roman" w:eastAsia="Times New Roman" w:hAnsi="Times New Roman" w:cs="Times New Roman"/>
      <w:sz w:val="24"/>
      <w:szCs w:val="24"/>
      <w:lang w:val="en-US"/>
    </w:rPr>
  </w:style>
  <w:style w:type="paragraph" w:customStyle="1" w:styleId="list0020paragraph">
    <w:name w:val="list_0020paragraph"/>
    <w:basedOn w:val="Normal"/>
    <w:rsid w:val="002E3E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2E3EAF"/>
  </w:style>
  <w:style w:type="paragraph" w:styleId="ListParagraph">
    <w:name w:val="List Paragraph"/>
    <w:basedOn w:val="Normal"/>
    <w:uiPriority w:val="34"/>
    <w:qFormat/>
    <w:rsid w:val="002E3EAF"/>
    <w:pPr>
      <w:ind w:left="720"/>
      <w:contextualSpacing/>
    </w:pPr>
    <w:rPr>
      <w:rFonts w:ascii="Times New Roman" w:eastAsia="Arial" w:hAnsi="Times New Roman" w:cs="Times New Roman"/>
      <w:noProof/>
      <w:sz w:val="28"/>
    </w:rPr>
  </w:style>
</w:styles>
</file>

<file path=word/webSettings.xml><?xml version="1.0" encoding="utf-8"?>
<w:webSettings xmlns:r="http://schemas.openxmlformats.org/officeDocument/2006/relationships" xmlns:w="http://schemas.openxmlformats.org/wordprocessingml/2006/main">
  <w:divs>
    <w:div w:id="11459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Tài liệu" ma:contentTypeID="0x010100A340AFBF70091942ACA258F5B3BC3363" ma:contentTypeVersion="0" ma:contentTypeDescription="Tạo tài liệu mới." ma:contentTypeScope="" ma:versionID="c1337d9fbee99d172f6dd8b604f424b0">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8931C-FE4B-4910-914B-0CD057738C8E}">
  <ds:schemaRefs>
    <ds:schemaRef ds:uri="http://schemas.openxmlformats.org/officeDocument/2006/bibliography"/>
  </ds:schemaRefs>
</ds:datastoreItem>
</file>

<file path=customXml/itemProps2.xml><?xml version="1.0" encoding="utf-8"?>
<ds:datastoreItem xmlns:ds="http://schemas.openxmlformats.org/officeDocument/2006/customXml" ds:itemID="{258F6B80-2020-479F-AE4D-F1BA503B170C}"/>
</file>

<file path=customXml/itemProps3.xml><?xml version="1.0" encoding="utf-8"?>
<ds:datastoreItem xmlns:ds="http://schemas.openxmlformats.org/officeDocument/2006/customXml" ds:itemID="{21966E88-903C-44F4-B738-052CF0A2C42A}"/>
</file>

<file path=customXml/itemProps4.xml><?xml version="1.0" encoding="utf-8"?>
<ds:datastoreItem xmlns:ds="http://schemas.openxmlformats.org/officeDocument/2006/customXml" ds:itemID="{52519FF6-9E1E-44FB-93DA-ECE67360F283}"/>
</file>

<file path=docProps/app.xml><?xml version="1.0" encoding="utf-8"?>
<Properties xmlns="http://schemas.openxmlformats.org/officeDocument/2006/extended-properties" xmlns:vt="http://schemas.openxmlformats.org/officeDocument/2006/docPropsVTypes">
  <Template>Normal</Template>
  <TotalTime>68</TotalTime>
  <Pages>9</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vuhaiyen</dc:creator>
  <cp:lastModifiedBy>tranminhnghia</cp:lastModifiedBy>
  <cp:revision>57</cp:revision>
  <cp:lastPrinted>2020-04-13T08:27:00Z</cp:lastPrinted>
  <dcterms:created xsi:type="dcterms:W3CDTF">2020-04-13T04:02:00Z</dcterms:created>
  <dcterms:modified xsi:type="dcterms:W3CDTF">2020-04-13T08:35:00Z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0x010100A340AFBF70091942ACA258F5B3BC3363</vt:lpwstr>
  </property>
</Properties>
</file>